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CE" w:rsidRPr="003609A6" w:rsidRDefault="00FE2DCE">
      <w:pPr>
        <w:rPr>
          <w:rFonts w:ascii="Avenir Next Regular" w:hAnsi="Avenir Next Regular"/>
        </w:rPr>
      </w:pPr>
    </w:p>
    <w:p w:rsidR="00012A53" w:rsidRPr="003609A6" w:rsidRDefault="00012A53" w:rsidP="00012A53">
      <w:pPr>
        <w:widowControl w:val="0"/>
        <w:autoSpaceDE w:val="0"/>
        <w:autoSpaceDN w:val="0"/>
        <w:adjustRightInd w:val="0"/>
        <w:rPr>
          <w:rFonts w:ascii="Avenir Next Medium" w:hAnsi="Avenir Next Medium" w:cs="Times New Roman"/>
          <w:color w:val="533897"/>
          <w:sz w:val="27"/>
          <w:szCs w:val="27"/>
        </w:rPr>
      </w:pPr>
      <w:r w:rsidRPr="003609A6">
        <w:rPr>
          <w:rFonts w:ascii="Avenir Next Medium" w:hAnsi="Avenir Next Medium" w:cs="Times New Roman"/>
          <w:color w:val="533897"/>
          <w:sz w:val="27"/>
          <w:szCs w:val="27"/>
        </w:rPr>
        <w:t>ENVIRONMENTAL JUSTICE CLE: PUBLIC PARTICIPATION IN</w:t>
      </w:r>
    </w:p>
    <w:p w:rsidR="00012A53" w:rsidRPr="003609A6" w:rsidRDefault="00012A53" w:rsidP="00012A53">
      <w:pPr>
        <w:widowControl w:val="0"/>
        <w:autoSpaceDE w:val="0"/>
        <w:autoSpaceDN w:val="0"/>
        <w:adjustRightInd w:val="0"/>
        <w:rPr>
          <w:rFonts w:ascii="Avenir Next Medium" w:hAnsi="Avenir Next Medium" w:cs="Times New Roman"/>
          <w:color w:val="533897"/>
          <w:sz w:val="27"/>
          <w:szCs w:val="27"/>
        </w:rPr>
      </w:pPr>
      <w:r w:rsidRPr="003609A6">
        <w:rPr>
          <w:rFonts w:ascii="Avenir Next Medium" w:hAnsi="Avenir Next Medium" w:cs="Times New Roman"/>
          <w:color w:val="533897"/>
          <w:sz w:val="27"/>
          <w:szCs w:val="27"/>
        </w:rPr>
        <w:t>DECISION MAKING</w:t>
      </w:r>
    </w:p>
    <w:p w:rsidR="00872CFF" w:rsidRPr="003609A6" w:rsidRDefault="00872CFF" w:rsidP="00012A53">
      <w:pPr>
        <w:widowControl w:val="0"/>
        <w:autoSpaceDE w:val="0"/>
        <w:autoSpaceDN w:val="0"/>
        <w:adjustRightInd w:val="0"/>
        <w:rPr>
          <w:rFonts w:ascii="Avenir Next Regular" w:hAnsi="Avenir Next Regular" w:cs="Times New Roman"/>
          <w:color w:val="1A1A1A"/>
          <w:sz w:val="27"/>
          <w:szCs w:val="27"/>
        </w:rPr>
      </w:pPr>
    </w:p>
    <w:p w:rsidR="00012A53" w:rsidRPr="003609A6" w:rsidRDefault="00012A53" w:rsidP="00872CFF">
      <w:pPr>
        <w:widowControl w:val="0"/>
        <w:autoSpaceDE w:val="0"/>
        <w:autoSpaceDN w:val="0"/>
        <w:adjustRightInd w:val="0"/>
        <w:ind w:left="720"/>
        <w:rPr>
          <w:rFonts w:ascii="Avenir Next Regular" w:hAnsi="Avenir Next Regular" w:cs="Times New Roman"/>
          <w:color w:val="1A1A1A"/>
          <w:sz w:val="27"/>
          <w:szCs w:val="27"/>
        </w:rPr>
      </w:pPr>
      <w:r w:rsidRPr="003609A6">
        <w:rPr>
          <w:rFonts w:ascii="Avenir Next Regular" w:hAnsi="Avenir Next Regular" w:cs="Times New Roman"/>
          <w:color w:val="1A1A1A"/>
          <w:sz w:val="27"/>
          <w:szCs w:val="27"/>
        </w:rPr>
        <w:t>With Professor Robin Collin</w:t>
      </w:r>
    </w:p>
    <w:p w:rsidR="00FE2DCE" w:rsidRPr="003609A6" w:rsidRDefault="00012A53" w:rsidP="00872CFF">
      <w:pPr>
        <w:ind w:left="720"/>
        <w:rPr>
          <w:rFonts w:ascii="Avenir Next Regular" w:hAnsi="Avenir Next Regular" w:cs="Times New Roman"/>
          <w:color w:val="1A1A1A"/>
          <w:sz w:val="27"/>
          <w:szCs w:val="27"/>
        </w:rPr>
      </w:pPr>
      <w:r w:rsidRPr="003609A6">
        <w:rPr>
          <w:rFonts w:ascii="Avenir Next Regular" w:hAnsi="Avenir Next Regular" w:cs="Times New Roman"/>
          <w:color w:val="1A1A1A"/>
          <w:sz w:val="27"/>
          <w:szCs w:val="27"/>
        </w:rPr>
        <w:t>Friday, September 22, 2017, 12:00 pm - 1:00 pm</w:t>
      </w:r>
    </w:p>
    <w:p w:rsidR="00012A53" w:rsidRPr="003609A6" w:rsidRDefault="00012A53" w:rsidP="00012A53">
      <w:pPr>
        <w:rPr>
          <w:rFonts w:ascii="Avenir Next Regular" w:hAnsi="Avenir Next Regular" w:cs="Times New Roman"/>
          <w:color w:val="1A1A1A"/>
          <w:sz w:val="27"/>
          <w:szCs w:val="27"/>
        </w:rPr>
      </w:pPr>
    </w:p>
    <w:p w:rsidR="000F2C3E" w:rsidRPr="003609A6" w:rsidRDefault="00012A53" w:rsidP="00012A53">
      <w:pPr>
        <w:rPr>
          <w:rFonts w:ascii="Avenir Next Medium" w:hAnsi="Avenir Next Medium"/>
        </w:rPr>
      </w:pPr>
      <w:r w:rsidRPr="003609A6">
        <w:rPr>
          <w:rFonts w:ascii="Avenir Next Medium" w:hAnsi="Avenir Next Medium"/>
        </w:rPr>
        <w:t xml:space="preserve">Background Concepts: </w:t>
      </w:r>
    </w:p>
    <w:p w:rsidR="00012A53" w:rsidRPr="003609A6" w:rsidRDefault="00012A53" w:rsidP="00012A53">
      <w:pPr>
        <w:rPr>
          <w:rFonts w:ascii="Avenir Next Regular" w:hAnsi="Avenir Next Regular"/>
        </w:rPr>
      </w:pPr>
      <w:r w:rsidRPr="003609A6">
        <w:rPr>
          <w:rFonts w:ascii="Avenir Next Regular" w:hAnsi="Avenir Next Regular"/>
        </w:rPr>
        <w:t xml:space="preserve"> </w:t>
      </w:r>
    </w:p>
    <w:p w:rsidR="00012A53" w:rsidRDefault="00012A53" w:rsidP="00012A53">
      <w:pPr>
        <w:ind w:left="720"/>
        <w:rPr>
          <w:rFonts w:ascii="Avenir Next Regular" w:hAnsi="Avenir Next Regular"/>
        </w:rPr>
      </w:pPr>
      <w:r w:rsidRPr="003609A6">
        <w:rPr>
          <w:rFonts w:ascii="Avenir Next Regular" w:hAnsi="Avenir Next Regular"/>
        </w:rPr>
        <w:t>Environmental Justice: Exposures to hazardous waste and pollution without knowledge, inclusion or consent of the people impacted. (</w:t>
      </w:r>
      <w:r w:rsidR="0001371E" w:rsidRPr="003609A6">
        <w:rPr>
          <w:rFonts w:ascii="Avenir Next Regular" w:hAnsi="Avenir Next Regular"/>
        </w:rPr>
        <w:t>Foundational</w:t>
      </w:r>
      <w:r w:rsidR="004E5FE9" w:rsidRPr="003609A6">
        <w:rPr>
          <w:rFonts w:ascii="Avenir Next Regular" w:hAnsi="Avenir Next Regular"/>
        </w:rPr>
        <w:t xml:space="preserve"> empirical work by </w:t>
      </w:r>
      <w:r w:rsidRPr="003609A6">
        <w:rPr>
          <w:rFonts w:ascii="Avenir Next Regular" w:hAnsi="Avenir Next Regular"/>
        </w:rPr>
        <w:t>United Churches of Christ</w:t>
      </w:r>
      <w:r w:rsidR="000F2C3E" w:rsidRPr="003609A6">
        <w:rPr>
          <w:rFonts w:ascii="Avenir Next Regular" w:hAnsi="Avenir Next Regular"/>
        </w:rPr>
        <w:t>, 1987)</w:t>
      </w:r>
      <w:r w:rsidR="000F2C3E" w:rsidRPr="003609A6">
        <w:rPr>
          <w:rStyle w:val="FootnoteReference"/>
          <w:rFonts w:ascii="Avenir Next Regular" w:hAnsi="Avenir Next Regular"/>
        </w:rPr>
        <w:footnoteReference w:id="1"/>
      </w:r>
    </w:p>
    <w:p w:rsidR="009157D0" w:rsidRPr="003609A6" w:rsidRDefault="009157D0" w:rsidP="009157D0">
      <w:pPr>
        <w:ind w:left="1440"/>
        <w:rPr>
          <w:rFonts w:ascii="Avenir Next Regular" w:hAnsi="Avenir Next Regular"/>
        </w:rPr>
      </w:pPr>
      <w:r>
        <w:rPr>
          <w:rFonts w:ascii="Avenir Next Regular" w:hAnsi="Avenir Next Regular"/>
        </w:rPr>
        <w:t>The best predictor of toxic and hazardous waste is the race of the community.</w:t>
      </w:r>
    </w:p>
    <w:p w:rsidR="00012A53" w:rsidRDefault="00094997" w:rsidP="00094997">
      <w:pPr>
        <w:ind w:left="1440"/>
        <w:rPr>
          <w:rFonts w:ascii="Avenir Next Regular" w:hAnsi="Avenir Next Regular"/>
        </w:rPr>
      </w:pPr>
      <w:r>
        <w:rPr>
          <w:rFonts w:ascii="Avenir Next Regular" w:hAnsi="Avenir Next Regular"/>
        </w:rPr>
        <w:t xml:space="preserve">Racial communities ethnic communities under deliberate intentional assault from public policy housing, unemployment, poverty, lack of education, drugs, </w:t>
      </w:r>
      <w:r w:rsidRPr="00094997">
        <w:rPr>
          <w:rFonts w:ascii="Avenir Next Regular" w:hAnsi="Avenir Next Regular"/>
          <w:u w:val="single"/>
        </w:rPr>
        <w:t>and pollution and waste</w:t>
      </w:r>
    </w:p>
    <w:p w:rsidR="00094997" w:rsidRPr="003609A6" w:rsidRDefault="00094997" w:rsidP="00094997">
      <w:pPr>
        <w:ind w:left="1440"/>
        <w:rPr>
          <w:rFonts w:ascii="Avenir Next Regular" w:hAnsi="Avenir Next Regular"/>
        </w:rPr>
      </w:pPr>
    </w:p>
    <w:p w:rsidR="00012A53" w:rsidRPr="003609A6" w:rsidRDefault="00012A53" w:rsidP="00012A53">
      <w:pPr>
        <w:ind w:left="720"/>
        <w:rPr>
          <w:rFonts w:ascii="Avenir Next Regular" w:hAnsi="Avenir Next Regular"/>
        </w:rPr>
      </w:pPr>
      <w:r w:rsidRPr="003609A6">
        <w:rPr>
          <w:rFonts w:ascii="Avenir Next Regular" w:hAnsi="Avenir Next Regular"/>
        </w:rPr>
        <w:t>History of imposing risks on vulnerable, excluded populations</w:t>
      </w:r>
      <w:r w:rsidR="000F2C3E" w:rsidRPr="003609A6">
        <w:rPr>
          <w:rFonts w:ascii="Avenir Next Regular" w:hAnsi="Avenir Next Regular"/>
        </w:rPr>
        <w:t xml:space="preserve"> through public policy decisions</w:t>
      </w:r>
      <w:r w:rsidRPr="003609A6">
        <w:rPr>
          <w:rFonts w:ascii="Avenir Next Regular" w:hAnsi="Avenir Next Regular"/>
        </w:rPr>
        <w:t>. (</w:t>
      </w:r>
      <w:r w:rsidR="004E5FE9" w:rsidRPr="003609A6">
        <w:rPr>
          <w:rFonts w:ascii="Avenir Next Regular" w:hAnsi="Avenir Next Regular"/>
        </w:rPr>
        <w:t xml:space="preserve">See works by </w:t>
      </w:r>
      <w:r w:rsidR="00872CFF" w:rsidRPr="003609A6">
        <w:rPr>
          <w:rFonts w:ascii="Avenir Next Regular" w:hAnsi="Avenir Next Regular"/>
        </w:rPr>
        <w:t xml:space="preserve">Dr. Robert </w:t>
      </w:r>
      <w:r w:rsidRPr="003609A6">
        <w:rPr>
          <w:rFonts w:ascii="Avenir Next Regular" w:hAnsi="Avenir Next Regular"/>
        </w:rPr>
        <w:t>Bullard,</w:t>
      </w:r>
      <w:r w:rsidR="004E5FE9" w:rsidRPr="003609A6">
        <w:rPr>
          <w:rStyle w:val="FootnoteReference"/>
          <w:rFonts w:ascii="Avenir Next Regular" w:hAnsi="Avenir Next Regular"/>
        </w:rPr>
        <w:footnoteReference w:id="2"/>
      </w:r>
      <w:r w:rsidRPr="003609A6">
        <w:rPr>
          <w:rFonts w:ascii="Avenir Next Regular" w:hAnsi="Avenir Next Regular"/>
        </w:rPr>
        <w:t xml:space="preserve"> </w:t>
      </w:r>
      <w:r w:rsidR="004E5FE9" w:rsidRPr="003609A6">
        <w:rPr>
          <w:rFonts w:ascii="Avenir Next Regular" w:hAnsi="Avenir Next Regular"/>
        </w:rPr>
        <w:t xml:space="preserve">and works by </w:t>
      </w:r>
      <w:r w:rsidR="00872CFF" w:rsidRPr="003609A6">
        <w:rPr>
          <w:rFonts w:ascii="Avenir Next Regular" w:hAnsi="Avenir Next Regular"/>
        </w:rPr>
        <w:t xml:space="preserve">Robin M </w:t>
      </w:r>
      <w:r w:rsidRPr="003609A6">
        <w:rPr>
          <w:rFonts w:ascii="Avenir Next Regular" w:hAnsi="Avenir Next Regular"/>
        </w:rPr>
        <w:t xml:space="preserve">Collin and </w:t>
      </w:r>
      <w:r w:rsidR="00872CFF" w:rsidRPr="003609A6">
        <w:rPr>
          <w:rFonts w:ascii="Avenir Next Regular" w:hAnsi="Avenir Next Regular"/>
        </w:rPr>
        <w:t xml:space="preserve">Robert W </w:t>
      </w:r>
      <w:r w:rsidRPr="003609A6">
        <w:rPr>
          <w:rFonts w:ascii="Avenir Next Regular" w:hAnsi="Avenir Next Regular"/>
        </w:rPr>
        <w:t>Collin)</w:t>
      </w:r>
      <w:r w:rsidR="00EC406D" w:rsidRPr="003609A6">
        <w:rPr>
          <w:rStyle w:val="FootnoteReference"/>
          <w:rFonts w:ascii="Avenir Next Regular" w:hAnsi="Avenir Next Regular"/>
        </w:rPr>
        <w:footnoteReference w:id="3"/>
      </w:r>
    </w:p>
    <w:p w:rsidR="00012A53" w:rsidRPr="003609A6" w:rsidRDefault="00012A53" w:rsidP="00012A53">
      <w:pPr>
        <w:ind w:left="720"/>
        <w:rPr>
          <w:rFonts w:ascii="Avenir Next Regular" w:hAnsi="Avenir Next Regular"/>
        </w:rPr>
      </w:pPr>
    </w:p>
    <w:p w:rsidR="00012A53" w:rsidRPr="003609A6" w:rsidRDefault="004E5FE9" w:rsidP="00094997">
      <w:pPr>
        <w:ind w:left="720"/>
        <w:rPr>
          <w:rFonts w:ascii="Avenir Next Regular" w:hAnsi="Avenir Next Regular"/>
        </w:rPr>
      </w:pPr>
      <w:r w:rsidRPr="003609A6">
        <w:rPr>
          <w:rFonts w:ascii="Avenir Next Regular" w:hAnsi="Avenir Next Regular"/>
        </w:rPr>
        <w:t>Race, gender, class affect c</w:t>
      </w:r>
      <w:r w:rsidR="000F2C3E" w:rsidRPr="003609A6">
        <w:rPr>
          <w:rFonts w:ascii="Avenir Next Regular" w:hAnsi="Avenir Next Regular"/>
        </w:rPr>
        <w:t>ontemporary policy</w:t>
      </w:r>
      <w:r w:rsidRPr="003609A6">
        <w:rPr>
          <w:rFonts w:ascii="Avenir Next Regular" w:hAnsi="Avenir Next Regular"/>
        </w:rPr>
        <w:t xml:space="preserve">, </w:t>
      </w:r>
      <w:r w:rsidR="000F2C3E" w:rsidRPr="003609A6">
        <w:rPr>
          <w:rFonts w:ascii="Avenir Next Regular" w:hAnsi="Avenir Next Regular"/>
        </w:rPr>
        <w:t xml:space="preserve">legislation, </w:t>
      </w:r>
      <w:r w:rsidRPr="003609A6">
        <w:rPr>
          <w:rFonts w:ascii="Avenir Next Regular" w:hAnsi="Avenir Next Regular"/>
        </w:rPr>
        <w:t xml:space="preserve">and implementation </w:t>
      </w:r>
      <w:r w:rsidR="00012A53" w:rsidRPr="003609A6">
        <w:rPr>
          <w:rFonts w:ascii="Avenir Next Regular" w:hAnsi="Avenir Next Regular"/>
        </w:rPr>
        <w:t>regarding public exposure to hazardous waste and pollution. (</w:t>
      </w:r>
      <w:r w:rsidRPr="003609A6">
        <w:rPr>
          <w:rFonts w:ascii="Avenir Next Regular" w:hAnsi="Avenir Next Regular"/>
        </w:rPr>
        <w:t xml:space="preserve">See works by and relying upon Dr. </w:t>
      </w:r>
      <w:r w:rsidR="00012A53" w:rsidRPr="003609A6">
        <w:rPr>
          <w:rFonts w:ascii="Avenir Next Regular" w:hAnsi="Avenir Next Regular"/>
        </w:rPr>
        <w:t>Paul Slovic</w:t>
      </w:r>
      <w:r w:rsidRPr="003609A6">
        <w:rPr>
          <w:rFonts w:ascii="Avenir Next Regular" w:hAnsi="Avenir Next Regular"/>
        </w:rPr>
        <w:t xml:space="preserve"> of Decision Research, an independent, nonprofit research corporation</w:t>
      </w:r>
      <w:r w:rsidR="00012A53" w:rsidRPr="003609A6">
        <w:rPr>
          <w:rFonts w:ascii="Avenir Next Regular" w:hAnsi="Avenir Next Regular"/>
        </w:rPr>
        <w:t>)</w:t>
      </w:r>
      <w:r w:rsidR="00EC406D" w:rsidRPr="003609A6">
        <w:rPr>
          <w:rStyle w:val="FootnoteReference"/>
          <w:rFonts w:ascii="Avenir Next Regular" w:hAnsi="Avenir Next Regular"/>
        </w:rPr>
        <w:footnoteReference w:id="4"/>
      </w:r>
    </w:p>
    <w:p w:rsidR="00FE2DCE" w:rsidRDefault="00094997" w:rsidP="00094997">
      <w:pPr>
        <w:rPr>
          <w:rFonts w:ascii="Avenir Next Regular" w:hAnsi="Avenir Next Regular"/>
        </w:rPr>
      </w:pPr>
      <w:r>
        <w:rPr>
          <w:rFonts w:ascii="Avenir Next Regular" w:hAnsi="Avenir Next Regular"/>
        </w:rPr>
        <w:lastRenderedPageBreak/>
        <w:tab/>
      </w:r>
    </w:p>
    <w:p w:rsidR="00094997" w:rsidRPr="003609A6" w:rsidRDefault="00094997" w:rsidP="00094997">
      <w:pPr>
        <w:ind w:left="720"/>
        <w:rPr>
          <w:rFonts w:ascii="Avenir Next Regular" w:hAnsi="Avenir Next Regular"/>
        </w:rPr>
      </w:pPr>
      <w:r>
        <w:rPr>
          <w:rFonts w:ascii="Avenir Next Regular" w:hAnsi="Avenir Next Regular"/>
        </w:rPr>
        <w:t xml:space="preserve">We are so connected by our environment – water, air, and what is in our lands – that what we do to one will affect the other.  That means what we do to our lands affects our water affects our air; wat we do to one group of people circulates to affect all.  We must not only stop treating poor communities and communities of color as sinks or dumps, even if that stopped today, we must rehabilitate them. </w:t>
      </w:r>
    </w:p>
    <w:p w:rsidR="00FE2DCE" w:rsidRPr="00915761" w:rsidRDefault="00872CFF" w:rsidP="00FE2DCE">
      <w:pPr>
        <w:pStyle w:val="Heading1"/>
        <w:rPr>
          <w:rFonts w:ascii="Avenir Next Medium" w:hAnsi="Avenir Next Medium"/>
          <w:b w:val="0"/>
        </w:rPr>
      </w:pPr>
      <w:r w:rsidRPr="00915761">
        <w:rPr>
          <w:rFonts w:ascii="Avenir Next Medium" w:hAnsi="Avenir Next Medium"/>
          <w:b w:val="0"/>
        </w:rPr>
        <w:t xml:space="preserve">Environmental Injustice, Environmental Racism, Shared Adverse Impacts.  </w:t>
      </w:r>
      <w:r w:rsidR="00FE2DCE" w:rsidRPr="00915761">
        <w:rPr>
          <w:rFonts w:ascii="Avenir Next Medium" w:hAnsi="Avenir Next Medium"/>
          <w:b w:val="0"/>
        </w:rPr>
        <w:t>Why Inclusion Matters, the Problems that arise from lack of inclusion in public decision making, why those problems will continue and grow. Examples of contemporary shared impacts from historically biased decisions.</w:t>
      </w:r>
      <w:r w:rsidR="00F6346D">
        <w:rPr>
          <w:rStyle w:val="FootnoteReference"/>
          <w:rFonts w:ascii="Avenir Next Medium" w:hAnsi="Avenir Next Medium"/>
          <w:b w:val="0"/>
        </w:rPr>
        <w:footnoteReference w:id="5"/>
      </w:r>
    </w:p>
    <w:p w:rsidR="00FE2DCE" w:rsidRDefault="00C86F34" w:rsidP="00C86F34">
      <w:pPr>
        <w:ind w:left="720"/>
        <w:rPr>
          <w:rFonts w:ascii="Avenir Next Regular" w:hAnsi="Avenir Next Regular"/>
        </w:rPr>
      </w:pPr>
      <w:r>
        <w:rPr>
          <w:rFonts w:ascii="Avenir Next Regular" w:hAnsi="Avenir Next Regular"/>
        </w:rPr>
        <w:t>Utilitarian decision making is an illusion. The greatest good for the greatest number is only valid if every affected party is considered.  Exclusions mean that some benefit at the expense of others, and the greater the exclusions, the more likely it is that a few will benefit at the expense of the many.</w:t>
      </w:r>
    </w:p>
    <w:p w:rsidR="00C86F34" w:rsidRDefault="00C86F34" w:rsidP="00C86F34">
      <w:pPr>
        <w:ind w:left="720"/>
        <w:rPr>
          <w:rFonts w:ascii="Avenir Next Regular" w:hAnsi="Avenir Next Regular"/>
        </w:rPr>
      </w:pPr>
      <w:r>
        <w:rPr>
          <w:rFonts w:ascii="Avenir Next Regular" w:hAnsi="Avenir Next Regular"/>
        </w:rPr>
        <w:t xml:space="preserve">When environmental decisions are made that impose risk and harms on people of color communities, children, poor communities, the elderly we are now talking about a majority of people; consider the additional burden of excluding a voice for plants and animals I the form of habitat, and it goes on.  </w:t>
      </w:r>
    </w:p>
    <w:p w:rsidR="00C86F34" w:rsidRDefault="00C86F34" w:rsidP="00C86F34">
      <w:pPr>
        <w:ind w:left="720"/>
        <w:rPr>
          <w:rFonts w:ascii="Avenir Next Regular" w:hAnsi="Avenir Next Regular"/>
        </w:rPr>
      </w:pPr>
    </w:p>
    <w:p w:rsidR="00C86F34" w:rsidRPr="003609A6" w:rsidRDefault="00C86F34" w:rsidP="00C86F34">
      <w:pPr>
        <w:ind w:left="720"/>
        <w:rPr>
          <w:rFonts w:ascii="Avenir Next Regular" w:hAnsi="Avenir Next Regular"/>
        </w:rPr>
      </w:pPr>
      <w:r>
        <w:rPr>
          <w:rFonts w:ascii="Avenir Next Regular" w:hAnsi="Avenir Next Regular"/>
        </w:rPr>
        <w:t xml:space="preserve">The kinds of risks and harms that are commonly imposed this way are based on distribution of toxic wastes, and pollution </w:t>
      </w:r>
      <w:r>
        <w:rPr>
          <w:rFonts w:ascii="Avenir Next Regular" w:hAnsi="Avenir Next Regular"/>
        </w:rPr>
        <w:lastRenderedPageBreak/>
        <w:t xml:space="preserve">from profit generating activities. The profits generated do not take into account – or pay for – known risks and harms externalized onto excluded communities who bear those costs and risks without consent or even knowledge.  Also, benefits are commonly distributed in this way as well.  Profit-generating activities do not take into account or defray known harms and risks of their activities which are externalized onto communities.  Take the example of housing and the real estate market.  As profits rise, houselessness increases. Yet, no profits are channeled directly into </w:t>
      </w:r>
      <w:r w:rsidR="005669BE">
        <w:rPr>
          <w:rFonts w:ascii="Avenir Next Regular" w:hAnsi="Avenir Next Regular"/>
        </w:rPr>
        <w:t xml:space="preserve">affordable housing.  That occurs through taxing of the majority who didn’t participate in the profits generated. </w:t>
      </w:r>
    </w:p>
    <w:p w:rsidR="00FE2DCE" w:rsidRPr="00915761" w:rsidRDefault="00FE2DCE" w:rsidP="00FE2DCE">
      <w:pPr>
        <w:pStyle w:val="Heading1"/>
        <w:rPr>
          <w:rFonts w:ascii="Avenir Next Medium" w:hAnsi="Avenir Next Medium"/>
          <w:b w:val="0"/>
        </w:rPr>
      </w:pPr>
      <w:r w:rsidRPr="00915761">
        <w:rPr>
          <w:rFonts w:ascii="Avenir Next Medium" w:hAnsi="Avenir Next Medium"/>
          <w:b w:val="0"/>
        </w:rPr>
        <w:t xml:space="preserve">Public Participation in </w:t>
      </w:r>
      <w:r w:rsidR="00872CFF" w:rsidRPr="00915761">
        <w:rPr>
          <w:rFonts w:ascii="Avenir Next Medium" w:hAnsi="Avenir Next Medium"/>
          <w:b w:val="0"/>
        </w:rPr>
        <w:t xml:space="preserve">Environmental </w:t>
      </w:r>
      <w:r w:rsidRPr="00915761">
        <w:rPr>
          <w:rFonts w:ascii="Avenir Next Medium" w:hAnsi="Avenir Next Medium"/>
          <w:b w:val="0"/>
        </w:rPr>
        <w:t>Decision Making: Current Legal Treatment (Oregon and beyond)</w:t>
      </w:r>
    </w:p>
    <w:p w:rsidR="00182189" w:rsidRPr="003609A6" w:rsidRDefault="00182189" w:rsidP="00182189">
      <w:pPr>
        <w:rPr>
          <w:rFonts w:ascii="Avenir Next Regular" w:hAnsi="Avenir Next Regular"/>
        </w:rPr>
      </w:pPr>
    </w:p>
    <w:p w:rsidR="00182189" w:rsidRDefault="00872CFF" w:rsidP="00915761">
      <w:pPr>
        <w:rPr>
          <w:rFonts w:ascii="Avenir Next Regular" w:hAnsi="Avenir Next Regular"/>
        </w:rPr>
      </w:pPr>
      <w:r w:rsidRPr="003609A6">
        <w:rPr>
          <w:rFonts w:ascii="Avenir Next Regular" w:hAnsi="Avenir Next Regular"/>
        </w:rPr>
        <w:t>Environmental Justice as both procedural</w:t>
      </w:r>
      <w:r w:rsidR="00182189" w:rsidRPr="003609A6">
        <w:rPr>
          <w:rFonts w:ascii="Avenir Next Regular" w:hAnsi="Avenir Next Regular"/>
        </w:rPr>
        <w:t xml:space="preserve"> and substantive analysis.</w:t>
      </w:r>
    </w:p>
    <w:p w:rsidR="00406D57" w:rsidRDefault="00406D57" w:rsidP="00915761">
      <w:pPr>
        <w:rPr>
          <w:rFonts w:ascii="Avenir Next Regular" w:hAnsi="Avenir Next Regular"/>
        </w:rPr>
      </w:pPr>
    </w:p>
    <w:p w:rsidR="00FE2DCE" w:rsidRDefault="00406D57" w:rsidP="00406D57">
      <w:pPr>
        <w:ind w:left="720"/>
        <w:rPr>
          <w:rFonts w:ascii="Helvetica" w:eastAsia="Times New Roman" w:hAnsi="Helvetica" w:cs="Times New Roman"/>
          <w:color w:val="000000"/>
          <w:sz w:val="23"/>
          <w:szCs w:val="23"/>
          <w:shd w:val="clear" w:color="auto" w:fill="FFFFFF"/>
        </w:rPr>
      </w:pPr>
      <w:r w:rsidRPr="00406D57">
        <w:rPr>
          <w:rFonts w:ascii="Helvetica" w:eastAsia="Times New Roman" w:hAnsi="Helvetica" w:cs="Times New Roman"/>
          <w:color w:val="000000"/>
          <w:sz w:val="23"/>
          <w:szCs w:val="23"/>
          <w:shd w:val="clear" w:color="auto" w:fill="FFFFFF"/>
        </w:rPr>
        <w:t>Environmental justice refers to the distribution of environmental rights and benefits by race, class, and income. These include substantive rights like clean air and water, and process rights like notice and the opportunity to participate in environmental decision making. </w:t>
      </w:r>
      <w:r w:rsidR="0013286B" w:rsidRPr="003609A6">
        <w:rPr>
          <w:rStyle w:val="FootnoteReference"/>
          <w:rFonts w:ascii="Avenir Next Regular" w:hAnsi="Avenir Next Regular"/>
        </w:rPr>
        <w:footnoteReference w:id="6"/>
      </w:r>
    </w:p>
    <w:p w:rsidR="00406D57" w:rsidRPr="00406D57" w:rsidRDefault="00406D57" w:rsidP="00406D57">
      <w:pPr>
        <w:ind w:left="720"/>
        <w:rPr>
          <w:rFonts w:ascii="Times New Roman" w:eastAsia="Times New Roman" w:hAnsi="Times New Roman" w:cs="Times New Roman"/>
          <w:sz w:val="24"/>
          <w:szCs w:val="24"/>
        </w:rPr>
      </w:pPr>
    </w:p>
    <w:p w:rsidR="00FE2DCE" w:rsidRDefault="00406D57" w:rsidP="00406D57">
      <w:pPr>
        <w:ind w:left="720"/>
        <w:rPr>
          <w:rFonts w:ascii="Helvetica" w:eastAsia="Times New Roman" w:hAnsi="Helvetica"/>
          <w:color w:val="000000"/>
          <w:sz w:val="23"/>
          <w:szCs w:val="23"/>
          <w:shd w:val="clear" w:color="auto" w:fill="FFFFFF"/>
        </w:rPr>
      </w:pPr>
      <w:r>
        <w:rPr>
          <w:rFonts w:ascii="Helvetica" w:eastAsia="Times New Roman" w:hAnsi="Helvetica"/>
          <w:color w:val="000000"/>
          <w:sz w:val="23"/>
          <w:szCs w:val="23"/>
          <w:shd w:val="clear" w:color="auto" w:fill="FFFFFF"/>
        </w:rPr>
        <w:t>Polices and laws about Environmental Justice have developed in the US at both state and federal levels</w:t>
      </w:r>
      <w:r w:rsidR="0013286B" w:rsidRPr="003609A6">
        <w:rPr>
          <w:rStyle w:val="FootnoteReference"/>
          <w:rFonts w:ascii="Avenir Next Regular" w:hAnsi="Avenir Next Regular"/>
        </w:rPr>
        <w:footnoteReference w:id="7"/>
      </w:r>
      <w:r w:rsidR="0013286B" w:rsidRPr="003609A6">
        <w:rPr>
          <w:rFonts w:ascii="Avenir Next Regular" w:hAnsi="Avenir Next Regular"/>
        </w:rPr>
        <w:t xml:space="preserve"> </w:t>
      </w:r>
      <w:r>
        <w:rPr>
          <w:rFonts w:eastAsia="Times New Roman"/>
          <w:sz w:val="24"/>
          <w:szCs w:val="24"/>
        </w:rPr>
        <w:t xml:space="preserve">, </w:t>
      </w:r>
      <w:r w:rsidR="0013286B" w:rsidRPr="003609A6">
        <w:rPr>
          <w:rStyle w:val="FootnoteReference"/>
          <w:rFonts w:ascii="Avenir Next Regular" w:hAnsi="Avenir Next Regular"/>
        </w:rPr>
        <w:footnoteReference w:id="8"/>
      </w:r>
      <w:r>
        <w:rPr>
          <w:rFonts w:eastAsia="Times New Roman"/>
          <w:sz w:val="24"/>
          <w:szCs w:val="24"/>
        </w:rPr>
        <w:t xml:space="preserve"> </w:t>
      </w:r>
      <w:r>
        <w:rPr>
          <w:rFonts w:ascii="Helvetica" w:eastAsia="Times New Roman" w:hAnsi="Helvetica"/>
          <w:color w:val="000000"/>
          <w:sz w:val="23"/>
          <w:szCs w:val="23"/>
          <w:shd w:val="clear" w:color="auto" w:fill="FFFFFF"/>
        </w:rPr>
        <w:t>and also internationally</w:t>
      </w:r>
      <w:r w:rsidR="0013286B" w:rsidRPr="003609A6">
        <w:rPr>
          <w:rStyle w:val="FootnoteReference"/>
          <w:rFonts w:ascii="Avenir Next Regular" w:hAnsi="Avenir Next Regular"/>
        </w:rPr>
        <w:footnoteReference w:id="9"/>
      </w:r>
      <w:r>
        <w:rPr>
          <w:rFonts w:ascii="Helvetica" w:eastAsia="Times New Roman" w:hAnsi="Helvetica"/>
          <w:color w:val="000000"/>
          <w:sz w:val="23"/>
          <w:szCs w:val="23"/>
          <w:shd w:val="clear" w:color="auto" w:fill="FFFFFF"/>
        </w:rPr>
        <w:t xml:space="preserve">. </w:t>
      </w:r>
    </w:p>
    <w:p w:rsidR="00406D57" w:rsidRDefault="00406D57" w:rsidP="00406D57">
      <w:pPr>
        <w:ind w:left="720"/>
        <w:rPr>
          <w:rFonts w:ascii="Helvetica" w:eastAsia="Times New Roman" w:hAnsi="Helvetica"/>
          <w:color w:val="000000"/>
          <w:sz w:val="23"/>
          <w:szCs w:val="23"/>
          <w:shd w:val="clear" w:color="auto" w:fill="FFFFFF"/>
        </w:rPr>
      </w:pPr>
    </w:p>
    <w:p w:rsidR="00406D57" w:rsidRPr="00406D57" w:rsidRDefault="00406D57" w:rsidP="00406D57">
      <w:pPr>
        <w:ind w:left="720"/>
        <w:rPr>
          <w:rFonts w:eastAsia="Times New Roman"/>
          <w:sz w:val="24"/>
          <w:szCs w:val="24"/>
        </w:rPr>
      </w:pPr>
      <w:r>
        <w:rPr>
          <w:rFonts w:ascii="Helvetica" w:eastAsia="Times New Roman" w:hAnsi="Helvetica"/>
          <w:color w:val="000000"/>
          <w:sz w:val="23"/>
          <w:szCs w:val="23"/>
          <w:shd w:val="clear" w:color="auto" w:fill="FFFFFF"/>
        </w:rPr>
        <w:lastRenderedPageBreak/>
        <w:t xml:space="preserve">We will focus on the development of environmental justice activities in Oregon.  See, Environmental Justice in Oregon: It’s the Law, </w:t>
      </w:r>
      <w:hyperlink r:id="rId8" w:history="1">
        <w:r w:rsidRPr="004761F0">
          <w:rPr>
            <w:rStyle w:val="Hyperlink"/>
            <w:rFonts w:ascii="Helvetica" w:eastAsia="Times New Roman" w:hAnsi="Helvetica"/>
            <w:sz w:val="23"/>
            <w:szCs w:val="23"/>
            <w:shd w:val="clear" w:color="auto" w:fill="FFFFFF"/>
          </w:rPr>
          <w:t>http://elawreview.org/articles/volume-38/issue-38-2/environmental-justice-in-oregon-its-the-law/</w:t>
        </w:r>
      </w:hyperlink>
      <w:r>
        <w:rPr>
          <w:rFonts w:ascii="Helvetica" w:eastAsia="Times New Roman" w:hAnsi="Helvetica"/>
          <w:color w:val="000000"/>
          <w:sz w:val="23"/>
          <w:szCs w:val="23"/>
          <w:shd w:val="clear" w:color="auto" w:fill="FFFFFF"/>
        </w:rPr>
        <w:t xml:space="preserve"> </w:t>
      </w:r>
    </w:p>
    <w:p w:rsidR="00202682" w:rsidRDefault="00202682" w:rsidP="00915761">
      <w:pPr>
        <w:rPr>
          <w:rFonts w:ascii="Avenir Next Regular" w:hAnsi="Avenir Next Regular"/>
        </w:rPr>
      </w:pPr>
    </w:p>
    <w:p w:rsidR="00872CFF" w:rsidRDefault="00202682" w:rsidP="00915761">
      <w:pPr>
        <w:rPr>
          <w:rFonts w:ascii="Avenir Next Regular" w:hAnsi="Avenir Next Regular"/>
        </w:rPr>
      </w:pPr>
      <w:r>
        <w:rPr>
          <w:rFonts w:ascii="Avenir Next Regular" w:hAnsi="Avenir Next Regular"/>
        </w:rPr>
        <w:t>Oregon’</w:t>
      </w:r>
      <w:r w:rsidR="00785012">
        <w:rPr>
          <w:rFonts w:ascii="Avenir Next Regular" w:hAnsi="Avenir Next Regular"/>
        </w:rPr>
        <w:t xml:space="preserve">s statutes, 5 ORS 182.535 to 182.550 </w:t>
      </w:r>
      <w:hyperlink r:id="rId9" w:history="1">
        <w:r w:rsidR="00785012" w:rsidRPr="004761F0">
          <w:rPr>
            <w:rStyle w:val="Hyperlink"/>
            <w:rFonts w:ascii="Avenir Next Regular" w:hAnsi="Avenir Next Regular"/>
          </w:rPr>
          <w:t>https://www.oregonlaws.org/ors/182.535</w:t>
        </w:r>
      </w:hyperlink>
      <w:r w:rsidR="00785012">
        <w:rPr>
          <w:rFonts w:ascii="Avenir Next Regular" w:hAnsi="Avenir Next Regular"/>
        </w:rPr>
        <w:t xml:space="preserve">  require the natural resource agencies of Oregon to consider the environmental justice impacts of their conduct, and also to involve environmental justice communities in their decision making. 5 ORS 182.542</w:t>
      </w:r>
    </w:p>
    <w:p w:rsidR="00785012" w:rsidRDefault="00785012" w:rsidP="00915761">
      <w:pPr>
        <w:rPr>
          <w:rFonts w:ascii="Avenir Next Regular" w:hAnsi="Avenir Next Regular"/>
        </w:rPr>
      </w:pPr>
    </w:p>
    <w:p w:rsidR="00785012" w:rsidRPr="00785012" w:rsidRDefault="00785012" w:rsidP="00785012">
      <w:pPr>
        <w:ind w:left="720"/>
        <w:rPr>
          <w:rFonts w:ascii="Avenir Next Regular" w:hAnsi="Avenir Next Regular"/>
          <w:bCs/>
        </w:rPr>
      </w:pPr>
      <w:r w:rsidRPr="00785012">
        <w:rPr>
          <w:rFonts w:ascii="Avenir Next Regular" w:hAnsi="Avenir Next Regular"/>
          <w:bCs/>
        </w:rPr>
        <w:t>2015 ORS 182.545¹ </w:t>
      </w:r>
    </w:p>
    <w:p w:rsidR="00785012" w:rsidRPr="00785012" w:rsidRDefault="00785012" w:rsidP="00785012">
      <w:pPr>
        <w:ind w:left="720"/>
        <w:rPr>
          <w:rFonts w:ascii="Avenir Next Regular" w:hAnsi="Avenir Next Regular"/>
          <w:bCs/>
        </w:rPr>
      </w:pPr>
      <w:r w:rsidRPr="00785012">
        <w:rPr>
          <w:rFonts w:ascii="Avenir Next Regular" w:hAnsi="Avenir Next Regular"/>
          <w:bCs/>
        </w:rPr>
        <w:t>Duties of natural resource agencies</w:t>
      </w:r>
    </w:p>
    <w:p w:rsidR="00785012" w:rsidRPr="00785012" w:rsidRDefault="00785012" w:rsidP="00785012">
      <w:pPr>
        <w:ind w:left="1440"/>
        <w:rPr>
          <w:rFonts w:ascii="Avenir Next Regular" w:hAnsi="Avenir Next Regular"/>
        </w:rPr>
      </w:pPr>
      <w:r w:rsidRPr="00785012">
        <w:rPr>
          <w:rFonts w:ascii="Avenir Next Regular" w:hAnsi="Avenir Next Regular"/>
        </w:rPr>
        <w:t>In order to provide greater public participation and to ensure that all persons affected by decisions of the natural resource agencies have a voice in those decisions, each natural resource agency shall:</w:t>
      </w:r>
    </w:p>
    <w:p w:rsidR="00785012" w:rsidRPr="00785012" w:rsidRDefault="00785012" w:rsidP="00785012">
      <w:pPr>
        <w:ind w:left="1440"/>
        <w:rPr>
          <w:rFonts w:ascii="Avenir Next Regular" w:hAnsi="Avenir Next Regular"/>
        </w:rPr>
      </w:pPr>
      <w:r w:rsidRPr="00785012">
        <w:rPr>
          <w:rFonts w:ascii="Avenir Next Regular" w:hAnsi="Avenir Next Regular"/>
          <w:bCs/>
        </w:rPr>
        <w:t>(1)</w:t>
      </w:r>
      <w:r>
        <w:rPr>
          <w:rFonts w:ascii="Avenir Next Regular" w:hAnsi="Avenir Next Regular"/>
          <w:bCs/>
        </w:rPr>
        <w:t xml:space="preserve"> </w:t>
      </w:r>
      <w:r w:rsidRPr="00785012">
        <w:rPr>
          <w:rFonts w:ascii="Avenir Next Regular" w:hAnsi="Avenir Next Regular"/>
        </w:rPr>
        <w:t xml:space="preserve">In making a determination whether and how to act, </w:t>
      </w:r>
      <w:r w:rsidRPr="003E311F">
        <w:rPr>
          <w:rFonts w:ascii="Avenir Next Regular" w:hAnsi="Avenir Next Regular"/>
          <w:highlight w:val="yellow"/>
        </w:rPr>
        <w:t>consider the effects of the action on environmental justice issues</w:t>
      </w:r>
      <w:r w:rsidRPr="00785012">
        <w:rPr>
          <w:rFonts w:ascii="Avenir Next Regular" w:hAnsi="Avenir Next Regular"/>
        </w:rPr>
        <w:t>.</w:t>
      </w:r>
    </w:p>
    <w:p w:rsidR="00785012" w:rsidRPr="00785012" w:rsidRDefault="00785012" w:rsidP="00785012">
      <w:pPr>
        <w:ind w:left="1440"/>
        <w:rPr>
          <w:rFonts w:ascii="Avenir Next Regular" w:hAnsi="Avenir Next Regular"/>
        </w:rPr>
      </w:pPr>
      <w:r w:rsidRPr="00785012">
        <w:rPr>
          <w:rFonts w:ascii="Avenir Next Regular" w:hAnsi="Avenir Next Regular"/>
          <w:bCs/>
        </w:rPr>
        <w:t>(2)</w:t>
      </w:r>
      <w:r>
        <w:rPr>
          <w:rFonts w:ascii="Avenir Next Regular" w:hAnsi="Avenir Next Regular"/>
          <w:bCs/>
        </w:rPr>
        <w:t xml:space="preserve"> </w:t>
      </w:r>
      <w:r w:rsidRPr="00785012">
        <w:rPr>
          <w:rFonts w:ascii="Avenir Next Regular" w:hAnsi="Avenir Next Regular"/>
        </w:rPr>
        <w:t>Hold hearings at times and in locations that are convenient for people in the communities that will be affected by the decisions stemming from the hearings.</w:t>
      </w:r>
    </w:p>
    <w:p w:rsidR="00785012" w:rsidRPr="00785012" w:rsidRDefault="00785012" w:rsidP="00785012">
      <w:pPr>
        <w:ind w:left="1440"/>
        <w:rPr>
          <w:rFonts w:ascii="Avenir Next Regular" w:hAnsi="Avenir Next Regular"/>
        </w:rPr>
      </w:pPr>
      <w:r w:rsidRPr="00785012">
        <w:rPr>
          <w:rFonts w:ascii="Avenir Next Regular" w:hAnsi="Avenir Next Regular"/>
          <w:bCs/>
        </w:rPr>
        <w:t>(3)</w:t>
      </w:r>
      <w:r>
        <w:rPr>
          <w:rFonts w:ascii="Avenir Next Regular" w:hAnsi="Avenir Next Regular"/>
          <w:bCs/>
        </w:rPr>
        <w:t xml:space="preserve"> </w:t>
      </w:r>
      <w:r w:rsidRPr="003E311F">
        <w:rPr>
          <w:rFonts w:ascii="Avenir Next Regular" w:hAnsi="Avenir Next Regular"/>
          <w:highlight w:val="yellow"/>
        </w:rPr>
        <w:t>Engage in public outreach activities in the communities that will be affected by decisions of the agency</w:t>
      </w:r>
      <w:r w:rsidRPr="00785012">
        <w:rPr>
          <w:rFonts w:ascii="Avenir Next Regular" w:hAnsi="Avenir Next Regular"/>
        </w:rPr>
        <w:t>.</w:t>
      </w:r>
    </w:p>
    <w:p w:rsidR="00785012" w:rsidRPr="00785012" w:rsidRDefault="00785012" w:rsidP="00785012">
      <w:pPr>
        <w:ind w:left="1440"/>
        <w:rPr>
          <w:rFonts w:ascii="Avenir Next Regular" w:hAnsi="Avenir Next Regular"/>
        </w:rPr>
      </w:pPr>
      <w:r w:rsidRPr="00785012">
        <w:rPr>
          <w:rFonts w:ascii="Avenir Next Regular" w:hAnsi="Avenir Next Regular"/>
          <w:bCs/>
        </w:rPr>
        <w:t>(4)</w:t>
      </w:r>
      <w:r>
        <w:rPr>
          <w:rFonts w:ascii="Avenir Next Regular" w:hAnsi="Avenir Next Regular"/>
          <w:bCs/>
        </w:rPr>
        <w:t xml:space="preserve"> </w:t>
      </w:r>
      <w:r w:rsidRPr="00785012">
        <w:rPr>
          <w:rFonts w:ascii="Avenir Next Regular" w:hAnsi="Avenir Next Regular"/>
        </w:rPr>
        <w:t>Create a citizen advocate position that is responsible for:</w:t>
      </w:r>
    </w:p>
    <w:p w:rsidR="00785012" w:rsidRPr="00785012" w:rsidRDefault="00785012" w:rsidP="00785012">
      <w:pPr>
        <w:ind w:left="2160"/>
        <w:rPr>
          <w:rFonts w:ascii="Avenir Next Regular" w:hAnsi="Avenir Next Regular"/>
        </w:rPr>
      </w:pPr>
      <w:r w:rsidRPr="00785012">
        <w:rPr>
          <w:rFonts w:ascii="Avenir Next Regular" w:hAnsi="Avenir Next Regular"/>
          <w:bCs/>
        </w:rPr>
        <w:t>(a)</w:t>
      </w:r>
      <w:r>
        <w:rPr>
          <w:rFonts w:ascii="Avenir Next Regular" w:hAnsi="Avenir Next Regular"/>
          <w:bCs/>
        </w:rPr>
        <w:t xml:space="preserve"> </w:t>
      </w:r>
      <w:r w:rsidRPr="00785012">
        <w:rPr>
          <w:rFonts w:ascii="Avenir Next Regular" w:hAnsi="Avenir Next Regular"/>
        </w:rPr>
        <w:t>Encouraging public participation;</w:t>
      </w:r>
    </w:p>
    <w:p w:rsidR="00785012" w:rsidRPr="00785012" w:rsidRDefault="00785012" w:rsidP="00785012">
      <w:pPr>
        <w:ind w:left="2160"/>
        <w:rPr>
          <w:rFonts w:ascii="Avenir Next Regular" w:hAnsi="Avenir Next Regular"/>
        </w:rPr>
      </w:pPr>
      <w:r w:rsidRPr="00785012">
        <w:rPr>
          <w:rFonts w:ascii="Avenir Next Regular" w:hAnsi="Avenir Next Regular"/>
          <w:bCs/>
        </w:rPr>
        <w:t>(b)</w:t>
      </w:r>
      <w:r w:rsidRPr="00785012">
        <w:rPr>
          <w:rFonts w:ascii="Avenir Next Regular" w:hAnsi="Avenir Next Regular"/>
        </w:rPr>
        <w:t>Ensuring that the agency considers environmental justice issues; </w:t>
      </w:r>
      <w:r w:rsidRPr="00785012">
        <w:rPr>
          <w:rFonts w:ascii="Avenir Next Regular" w:hAnsi="Avenir Next Regular"/>
          <w:bCs/>
        </w:rPr>
        <w:t>and</w:t>
      </w:r>
    </w:p>
    <w:p w:rsidR="00785012" w:rsidRPr="00785012" w:rsidRDefault="00785012" w:rsidP="00785012">
      <w:pPr>
        <w:ind w:left="2160"/>
        <w:rPr>
          <w:rFonts w:ascii="Avenir Next Regular" w:hAnsi="Avenir Next Regular"/>
        </w:rPr>
      </w:pPr>
      <w:r w:rsidRPr="00785012">
        <w:rPr>
          <w:rFonts w:ascii="Avenir Next Regular" w:hAnsi="Avenir Next Regular"/>
          <w:bCs/>
        </w:rPr>
        <w:t>(c)</w:t>
      </w:r>
      <w:r w:rsidRPr="00785012">
        <w:rPr>
          <w:rFonts w:ascii="Avenir Next Regular" w:hAnsi="Avenir Next Regular"/>
        </w:rPr>
        <w:t>Informing the agency of the effect of its decisions on communities traditionally underrepresented in public processes. [2007 c.909 §4]</w:t>
      </w:r>
    </w:p>
    <w:p w:rsidR="00785012" w:rsidRDefault="00785012" w:rsidP="00785012">
      <w:pPr>
        <w:ind w:left="1440"/>
        <w:rPr>
          <w:rFonts w:ascii="Avenir Next Regular" w:hAnsi="Avenir Next Regular"/>
        </w:rPr>
      </w:pPr>
      <w:r w:rsidRPr="00785012">
        <w:rPr>
          <w:rFonts w:ascii="Avenir Next Regular" w:hAnsi="Avenir Next Regular"/>
        </w:rPr>
        <w:t>Note: See note under </w:t>
      </w:r>
      <w:hyperlink r:id="rId10" w:history="1">
        <w:r w:rsidRPr="00785012">
          <w:rPr>
            <w:rStyle w:val="Hyperlink"/>
            <w:rFonts w:ascii="Avenir Next Regular" w:hAnsi="Avenir Next Regular"/>
            <w:b/>
            <w:bCs/>
          </w:rPr>
          <w:t>182.535 ("Natural resource agency" defined for ORS 182.535 to 182.550)</w:t>
        </w:r>
      </w:hyperlink>
      <w:r w:rsidRPr="00785012">
        <w:rPr>
          <w:rFonts w:ascii="Avenir Next Regular" w:hAnsi="Avenir Next Regular"/>
        </w:rPr>
        <w:t>.</w:t>
      </w:r>
    </w:p>
    <w:p w:rsidR="003E311F" w:rsidRDefault="003E311F" w:rsidP="00785012">
      <w:pPr>
        <w:ind w:left="1440"/>
        <w:rPr>
          <w:rFonts w:ascii="Avenir Next Regular" w:hAnsi="Avenir Next Regular"/>
        </w:rPr>
      </w:pPr>
    </w:p>
    <w:p w:rsidR="003E311F" w:rsidRDefault="003E311F" w:rsidP="003E311F">
      <w:pPr>
        <w:rPr>
          <w:rFonts w:ascii="Avenir Next Regular" w:hAnsi="Avenir Next Regular"/>
        </w:rPr>
      </w:pPr>
      <w:r>
        <w:rPr>
          <w:rFonts w:ascii="Avenir Next Regular" w:hAnsi="Avenir Next Regular"/>
        </w:rPr>
        <w:lastRenderedPageBreak/>
        <w:t>Thanks to Senator Avel Gordley, Robert W. Collin who has taught EJ at all three Oregon law schools and is the author of the preeminent article on EJ in Oregon.</w:t>
      </w:r>
    </w:p>
    <w:p w:rsidR="003E311F" w:rsidRDefault="003E311F" w:rsidP="003E311F">
      <w:pPr>
        <w:rPr>
          <w:rFonts w:ascii="Avenir Next Regular" w:hAnsi="Avenir Next Regular"/>
        </w:rPr>
      </w:pPr>
    </w:p>
    <w:p w:rsidR="003E311F" w:rsidRPr="00785012" w:rsidRDefault="003E311F" w:rsidP="003E311F">
      <w:pPr>
        <w:rPr>
          <w:rFonts w:ascii="Avenir Next Regular" w:hAnsi="Avenir Next Regular"/>
        </w:rPr>
      </w:pPr>
      <w:r>
        <w:rPr>
          <w:rFonts w:ascii="Avenir Next Regular" w:hAnsi="Avenir Next Regular"/>
        </w:rPr>
        <w:t xml:space="preserve">I have included a basic format for substantive EJ analysis in the materials below.  Our focus for the remainder of this discussion will be on the procedural aspects of inclusion.  </w:t>
      </w:r>
    </w:p>
    <w:p w:rsidR="00785012" w:rsidRPr="003609A6" w:rsidRDefault="00785012" w:rsidP="00785012">
      <w:pPr>
        <w:ind w:left="720"/>
        <w:rPr>
          <w:rFonts w:ascii="Avenir Next Regular" w:hAnsi="Avenir Next Regular"/>
        </w:rPr>
      </w:pPr>
    </w:p>
    <w:p w:rsidR="00915761" w:rsidRDefault="00872CFF" w:rsidP="00915761">
      <w:pPr>
        <w:keepNext/>
      </w:pPr>
      <w:r w:rsidRPr="003609A6">
        <w:rPr>
          <w:rFonts w:ascii="Avenir Next Regular" w:hAnsi="Avenir Next Regular"/>
          <w:noProof/>
        </w:rPr>
        <w:drawing>
          <wp:inline distT="0" distB="0" distL="0" distR="0">
            <wp:extent cx="5543205" cy="4937760"/>
            <wp:effectExtent l="0" t="0" r="0" b="0"/>
            <wp:docPr id="1" name="Picture 1" descr="Macintosh HD:Users:robinsmacmini:Desktop:EJ analysi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insmacmini:Desktop:EJ analysis.pdf"/>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9420" t="11131" r="8016" b="21898"/>
                    <a:stretch/>
                  </pic:blipFill>
                  <pic:spPr bwMode="auto">
                    <a:xfrm>
                      <a:off x="0" y="0"/>
                      <a:ext cx="5543942" cy="493841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a:ext>
                    </a:extLst>
                  </pic:spPr>
                </pic:pic>
              </a:graphicData>
            </a:graphic>
          </wp:inline>
        </w:drawing>
      </w:r>
    </w:p>
    <w:p w:rsidR="00872CFF" w:rsidRPr="003609A6" w:rsidRDefault="00915761" w:rsidP="00915761">
      <w:pPr>
        <w:pStyle w:val="Caption"/>
        <w:rPr>
          <w:rFonts w:ascii="Avenir Next Regular" w:hAnsi="Avenir Next Regular"/>
        </w:rPr>
      </w:pPr>
      <w:r>
        <w:t xml:space="preserve">Figure </w:t>
      </w:r>
      <w:r w:rsidR="00734A6F">
        <w:fldChar w:fldCharType="begin"/>
      </w:r>
      <w:r w:rsidR="006328D4">
        <w:instrText xml:space="preserve"> SEQ Figure \* ARABIC </w:instrText>
      </w:r>
      <w:r w:rsidR="00734A6F">
        <w:fldChar w:fldCharType="separate"/>
      </w:r>
      <w:r w:rsidR="00A05551">
        <w:rPr>
          <w:noProof/>
        </w:rPr>
        <w:t>1</w:t>
      </w:r>
      <w:r w:rsidR="00734A6F">
        <w:rPr>
          <w:noProof/>
        </w:rPr>
        <w:fldChar w:fldCharType="end"/>
      </w:r>
      <w:r>
        <w:t xml:space="preserve"> Substantive Environmental Justice Analysis</w:t>
      </w:r>
    </w:p>
    <w:p w:rsidR="00FE2DCE" w:rsidRPr="0001371E" w:rsidRDefault="00FE2DCE" w:rsidP="00FE2DCE">
      <w:pPr>
        <w:pStyle w:val="Heading1"/>
        <w:rPr>
          <w:rFonts w:ascii="Avenir Next Medium" w:hAnsi="Avenir Next Medium"/>
          <w:b w:val="0"/>
        </w:rPr>
      </w:pPr>
      <w:r w:rsidRPr="0001371E">
        <w:rPr>
          <w:rFonts w:ascii="Avenir Next Medium" w:hAnsi="Avenir Next Medium"/>
          <w:b w:val="0"/>
        </w:rPr>
        <w:t>Construct</w:t>
      </w:r>
      <w:r w:rsidR="00915761" w:rsidRPr="0001371E">
        <w:rPr>
          <w:rFonts w:ascii="Avenir Next Medium" w:hAnsi="Avenir Next Medium"/>
          <w:b w:val="0"/>
        </w:rPr>
        <w:t>ing</w:t>
      </w:r>
      <w:r w:rsidRPr="0001371E">
        <w:rPr>
          <w:rFonts w:ascii="Avenir Next Medium" w:hAnsi="Avenir Next Medium"/>
          <w:b w:val="0"/>
        </w:rPr>
        <w:t xml:space="preserve"> Public Participation: </w:t>
      </w:r>
      <w:r w:rsidR="00733076">
        <w:rPr>
          <w:rFonts w:ascii="Avenir Next Medium" w:hAnsi="Avenir Next Medium"/>
          <w:b w:val="0"/>
        </w:rPr>
        <w:t xml:space="preserve">EJ </w:t>
      </w:r>
      <w:r w:rsidRPr="0001371E">
        <w:rPr>
          <w:rFonts w:ascii="Avenir Next Medium" w:hAnsi="Avenir Next Medium"/>
          <w:b w:val="0"/>
        </w:rPr>
        <w:t>Principles and Tools</w:t>
      </w:r>
    </w:p>
    <w:p w:rsidR="00182189" w:rsidRPr="0001371E" w:rsidRDefault="00182189" w:rsidP="00FE2DCE">
      <w:pPr>
        <w:rPr>
          <w:rFonts w:ascii="Avenir Next Medium" w:hAnsi="Avenir Next Medium"/>
        </w:rPr>
      </w:pPr>
    </w:p>
    <w:p w:rsidR="00182189" w:rsidRPr="00915761" w:rsidRDefault="00182189" w:rsidP="00182189">
      <w:pPr>
        <w:rPr>
          <w:rFonts w:ascii="Avenir Next Medium" w:hAnsi="Avenir Next Medium"/>
        </w:rPr>
      </w:pPr>
      <w:r w:rsidRPr="00915761">
        <w:rPr>
          <w:rFonts w:ascii="Avenir Next Medium" w:hAnsi="Avenir Next Medium"/>
        </w:rPr>
        <w:lastRenderedPageBreak/>
        <w:t xml:space="preserve">Principles: </w:t>
      </w:r>
    </w:p>
    <w:p w:rsidR="00182189" w:rsidRPr="003609A6" w:rsidRDefault="00182189" w:rsidP="00182189">
      <w:pPr>
        <w:pStyle w:val="ListParagraph"/>
        <w:numPr>
          <w:ilvl w:val="0"/>
          <w:numId w:val="2"/>
        </w:numPr>
        <w:rPr>
          <w:rFonts w:ascii="Avenir Next Regular" w:hAnsi="Avenir Next Regular"/>
        </w:rPr>
      </w:pPr>
      <w:r w:rsidRPr="003609A6">
        <w:rPr>
          <w:rFonts w:ascii="Avenir Next Regular" w:hAnsi="Avenir Next Regular"/>
        </w:rPr>
        <w:t xml:space="preserve">Accountability, Transparency and Openness </w:t>
      </w:r>
    </w:p>
    <w:p w:rsidR="006E46CF" w:rsidRPr="003609A6" w:rsidRDefault="006E46CF" w:rsidP="00182189">
      <w:pPr>
        <w:pStyle w:val="ListParagraph"/>
        <w:numPr>
          <w:ilvl w:val="0"/>
          <w:numId w:val="2"/>
        </w:numPr>
        <w:rPr>
          <w:rFonts w:ascii="Avenir Next Regular" w:hAnsi="Avenir Next Regular"/>
        </w:rPr>
      </w:pPr>
      <w:r w:rsidRPr="003609A6">
        <w:rPr>
          <w:rFonts w:ascii="Avenir Next Regular" w:hAnsi="Avenir Next Regular"/>
        </w:rPr>
        <w:t>Continuing C</w:t>
      </w:r>
      <w:r w:rsidR="00182189" w:rsidRPr="003609A6">
        <w:rPr>
          <w:rFonts w:ascii="Avenir Next Regular" w:hAnsi="Avenir Next Regular"/>
        </w:rPr>
        <w:t xml:space="preserve">hallenge of Capacity </w:t>
      </w:r>
      <w:r w:rsidR="00644FAC" w:rsidRPr="003609A6">
        <w:rPr>
          <w:rFonts w:ascii="Avenir Next Regular" w:hAnsi="Avenir Next Regular"/>
        </w:rPr>
        <w:t>in Government</w:t>
      </w:r>
      <w:r w:rsidR="00915761">
        <w:rPr>
          <w:rFonts w:ascii="Avenir Next Regular" w:hAnsi="Avenir Next Regular"/>
        </w:rPr>
        <w:t xml:space="preserve">al agencies to convene and host and </w:t>
      </w:r>
      <w:r w:rsidRPr="003609A6">
        <w:rPr>
          <w:rFonts w:ascii="Avenir Next Regular" w:hAnsi="Avenir Next Regular"/>
        </w:rPr>
        <w:t>in community</w:t>
      </w:r>
      <w:r w:rsidR="00644FAC" w:rsidRPr="003609A6">
        <w:rPr>
          <w:rFonts w:ascii="Avenir Next Regular" w:hAnsi="Avenir Next Regular"/>
        </w:rPr>
        <w:t xml:space="preserve"> partner</w:t>
      </w:r>
      <w:r w:rsidRPr="003609A6">
        <w:rPr>
          <w:rFonts w:ascii="Avenir Next Regular" w:hAnsi="Avenir Next Regular"/>
        </w:rPr>
        <w:t xml:space="preserve">s. </w:t>
      </w:r>
    </w:p>
    <w:p w:rsidR="00182189" w:rsidRPr="003609A6" w:rsidRDefault="00915761" w:rsidP="00182189">
      <w:pPr>
        <w:pStyle w:val="ListParagraph"/>
        <w:numPr>
          <w:ilvl w:val="0"/>
          <w:numId w:val="2"/>
        </w:numPr>
        <w:rPr>
          <w:rFonts w:ascii="Avenir Next Regular" w:hAnsi="Avenir Next Regular"/>
        </w:rPr>
      </w:pPr>
      <w:r>
        <w:rPr>
          <w:rFonts w:ascii="Avenir Next Regular" w:hAnsi="Avenir Next Regular"/>
        </w:rPr>
        <w:t>L</w:t>
      </w:r>
      <w:r w:rsidR="00182189" w:rsidRPr="003609A6">
        <w:rPr>
          <w:rFonts w:ascii="Avenir Next Regular" w:hAnsi="Avenir Next Regular"/>
        </w:rPr>
        <w:t>istening,</w:t>
      </w:r>
      <w:r w:rsidR="0013286B" w:rsidRPr="003609A6">
        <w:rPr>
          <w:rStyle w:val="FootnoteReference"/>
          <w:rFonts w:ascii="Avenir Next Regular" w:hAnsi="Avenir Next Regular"/>
        </w:rPr>
        <w:footnoteReference w:id="10"/>
      </w:r>
      <w:r w:rsidR="00182189" w:rsidRPr="003609A6">
        <w:rPr>
          <w:rFonts w:ascii="Avenir Next Regular" w:hAnsi="Avenir Next Regular"/>
        </w:rPr>
        <w:t xml:space="preserve"> </w:t>
      </w:r>
      <w:r>
        <w:rPr>
          <w:rFonts w:ascii="Avenir Next Regular" w:hAnsi="Avenir Next Regular"/>
        </w:rPr>
        <w:t xml:space="preserve">culturally competent </w:t>
      </w:r>
      <w:r w:rsidR="00182189" w:rsidRPr="003609A6">
        <w:rPr>
          <w:rFonts w:ascii="Avenir Next Regular" w:hAnsi="Avenir Next Regular"/>
        </w:rPr>
        <w:t>facilitation</w:t>
      </w:r>
      <w:r w:rsidR="00872CFF" w:rsidRPr="003609A6">
        <w:rPr>
          <w:rFonts w:ascii="Avenir Next Regular" w:hAnsi="Avenir Next Regular"/>
        </w:rPr>
        <w:t>,</w:t>
      </w:r>
      <w:r w:rsidR="00182189" w:rsidRPr="003609A6">
        <w:rPr>
          <w:rFonts w:ascii="Avenir Next Regular" w:hAnsi="Avenir Next Regular"/>
        </w:rPr>
        <w:t xml:space="preserve"> and commitment to fully inclusive discourse</w:t>
      </w:r>
      <w:r w:rsidR="006E46CF" w:rsidRPr="003609A6">
        <w:rPr>
          <w:rFonts w:ascii="Avenir Next Regular" w:hAnsi="Avenir Next Regular"/>
        </w:rPr>
        <w:t>.</w:t>
      </w:r>
    </w:p>
    <w:p w:rsidR="00182189" w:rsidRPr="003609A6" w:rsidRDefault="00182189" w:rsidP="00182189">
      <w:pPr>
        <w:rPr>
          <w:rFonts w:ascii="Avenir Next Regular" w:hAnsi="Avenir Next Regular"/>
        </w:rPr>
      </w:pPr>
    </w:p>
    <w:p w:rsidR="006E46CF" w:rsidRPr="0001371E" w:rsidRDefault="002875E6" w:rsidP="00182189">
      <w:pPr>
        <w:rPr>
          <w:rFonts w:ascii="Avenir Next Medium" w:hAnsi="Avenir Next Medium"/>
        </w:rPr>
      </w:pPr>
      <w:r w:rsidRPr="0001371E">
        <w:rPr>
          <w:rFonts w:ascii="Avenir Next Medium" w:hAnsi="Avenir Next Medium"/>
        </w:rPr>
        <w:t xml:space="preserve">Three Environmental Justice Public Participation </w:t>
      </w:r>
      <w:r w:rsidR="00182189" w:rsidRPr="0001371E">
        <w:rPr>
          <w:rFonts w:ascii="Avenir Next Medium" w:hAnsi="Avenir Next Medium"/>
        </w:rPr>
        <w:t xml:space="preserve">Tools: </w:t>
      </w:r>
    </w:p>
    <w:p w:rsidR="006E46CF" w:rsidRPr="003609A6" w:rsidRDefault="00872CFF" w:rsidP="006E46CF">
      <w:pPr>
        <w:pStyle w:val="ListParagraph"/>
        <w:numPr>
          <w:ilvl w:val="0"/>
          <w:numId w:val="4"/>
        </w:numPr>
        <w:rPr>
          <w:rFonts w:ascii="Avenir Next Regular" w:hAnsi="Avenir Next Regular"/>
        </w:rPr>
      </w:pPr>
      <w:r w:rsidRPr="003609A6">
        <w:rPr>
          <w:rFonts w:ascii="Avenir Next Regular" w:hAnsi="Avenir Next Regular"/>
        </w:rPr>
        <w:t>Scorecard,</w:t>
      </w:r>
      <w:r w:rsidRPr="003609A6">
        <w:rPr>
          <w:rStyle w:val="FootnoteReference"/>
          <w:rFonts w:ascii="Avenir Next Regular" w:hAnsi="Avenir Next Regular"/>
        </w:rPr>
        <w:footnoteReference w:id="11"/>
      </w:r>
      <w:r w:rsidRPr="003609A6">
        <w:rPr>
          <w:rFonts w:ascii="Avenir Next Regular" w:hAnsi="Avenir Next Regular"/>
        </w:rPr>
        <w:t xml:space="preserve"> </w:t>
      </w:r>
    </w:p>
    <w:p w:rsidR="006E46CF" w:rsidRPr="003609A6" w:rsidRDefault="00872CFF" w:rsidP="006E46CF">
      <w:pPr>
        <w:pStyle w:val="ListParagraph"/>
        <w:numPr>
          <w:ilvl w:val="0"/>
          <w:numId w:val="4"/>
        </w:numPr>
        <w:rPr>
          <w:rFonts w:ascii="Avenir Next Regular" w:hAnsi="Avenir Next Regular"/>
        </w:rPr>
      </w:pPr>
      <w:r w:rsidRPr="003609A6">
        <w:rPr>
          <w:rFonts w:ascii="Avenir Next Regular" w:hAnsi="Avenir Next Regular"/>
        </w:rPr>
        <w:t>Best Practices Handbook</w:t>
      </w:r>
      <w:r w:rsidR="00182189" w:rsidRPr="003609A6">
        <w:rPr>
          <w:rFonts w:ascii="Avenir Next Regular" w:hAnsi="Avenir Next Regular"/>
        </w:rPr>
        <w:t>,</w:t>
      </w:r>
      <w:r w:rsidRPr="003609A6">
        <w:rPr>
          <w:rStyle w:val="FootnoteReference"/>
          <w:rFonts w:ascii="Avenir Next Regular" w:hAnsi="Avenir Next Regular"/>
        </w:rPr>
        <w:footnoteReference w:id="12"/>
      </w:r>
      <w:r w:rsidR="00182189" w:rsidRPr="003609A6">
        <w:rPr>
          <w:rFonts w:ascii="Avenir Next Regular" w:hAnsi="Avenir Next Regular"/>
        </w:rPr>
        <w:t xml:space="preserve"> </w:t>
      </w:r>
    </w:p>
    <w:p w:rsidR="00182189" w:rsidRPr="003609A6" w:rsidRDefault="00182189" w:rsidP="006E46CF">
      <w:pPr>
        <w:pStyle w:val="ListParagraph"/>
        <w:numPr>
          <w:ilvl w:val="0"/>
          <w:numId w:val="4"/>
        </w:numPr>
        <w:rPr>
          <w:rFonts w:ascii="Avenir Next Regular" w:hAnsi="Avenir Next Regular"/>
        </w:rPr>
      </w:pPr>
      <w:r w:rsidRPr="003609A6">
        <w:rPr>
          <w:rFonts w:ascii="Avenir Next Regular" w:hAnsi="Avenir Next Regular"/>
        </w:rPr>
        <w:t>EJScreen</w:t>
      </w:r>
      <w:r w:rsidR="006E46CF" w:rsidRPr="003609A6">
        <w:rPr>
          <w:rFonts w:ascii="Avenir Next Regular" w:hAnsi="Avenir Next Regular"/>
        </w:rPr>
        <w:t>.</w:t>
      </w:r>
      <w:r w:rsidR="00872CFF" w:rsidRPr="003609A6">
        <w:rPr>
          <w:rStyle w:val="FootnoteReference"/>
          <w:rFonts w:ascii="Avenir Next Regular" w:hAnsi="Avenir Next Regular"/>
        </w:rPr>
        <w:footnoteReference w:id="13"/>
      </w:r>
    </w:p>
    <w:p w:rsidR="00A05551" w:rsidRDefault="00A05551" w:rsidP="00A05551">
      <w:pPr>
        <w:rPr>
          <w:rFonts w:ascii="Avenir Next Regular" w:hAnsi="Avenir Next Regular"/>
        </w:rPr>
      </w:pPr>
    </w:p>
    <w:p w:rsidR="00A05551" w:rsidRPr="007B2BD0" w:rsidRDefault="00A05551" w:rsidP="00A05551">
      <w:pPr>
        <w:rPr>
          <w:rFonts w:ascii="Avenir Next Medium" w:hAnsi="Avenir Next Medium"/>
        </w:rPr>
      </w:pPr>
      <w:r w:rsidRPr="007B2BD0">
        <w:rPr>
          <w:rFonts w:ascii="Avenir Next Medium" w:hAnsi="Avenir Next Medium"/>
        </w:rPr>
        <w:t xml:space="preserve">Integrating </w:t>
      </w:r>
      <w:r w:rsidR="00414650">
        <w:rPr>
          <w:rFonts w:ascii="Avenir Next Medium" w:hAnsi="Avenir Next Medium"/>
        </w:rPr>
        <w:t xml:space="preserve">EJ </w:t>
      </w:r>
      <w:r w:rsidRPr="007B2BD0">
        <w:rPr>
          <w:rFonts w:ascii="Avenir Next Medium" w:hAnsi="Avenir Next Medium"/>
        </w:rPr>
        <w:t>Principles and Tools</w:t>
      </w:r>
    </w:p>
    <w:p w:rsidR="00A05551" w:rsidRDefault="00A05551" w:rsidP="00A05551"/>
    <w:p w:rsidR="00A05551" w:rsidRDefault="00A05551" w:rsidP="00A05551">
      <w:r w:rsidRPr="0070625F">
        <w:rPr>
          <w:rFonts w:ascii="Avenir Next Medium" w:hAnsi="Avenir Next Medium"/>
        </w:rPr>
        <w:t>Scoping</w:t>
      </w:r>
      <w:r w:rsidR="00554510" w:rsidRPr="0070625F">
        <w:rPr>
          <w:rFonts w:ascii="Avenir Next Medium" w:hAnsi="Avenir Next Medium"/>
        </w:rPr>
        <w:t>, An Iterative Process</w:t>
      </w:r>
      <w:r w:rsidR="009A4AC2">
        <w:t xml:space="preserve"> (you are never completely finished)</w:t>
      </w:r>
      <w:r>
        <w:t>: identifying the decisions to be made, conceptualizing the processes to be used, identifying the convenor, identifying the stakeholders, establishing the timelines, clarifying supporting roles for facilitation and technical education and support.</w:t>
      </w:r>
    </w:p>
    <w:p w:rsidR="00A05551" w:rsidRDefault="00A05551" w:rsidP="00A05551"/>
    <w:p w:rsidR="00A05551" w:rsidRDefault="00A05551" w:rsidP="00A05551">
      <w:pPr>
        <w:ind w:left="720"/>
      </w:pPr>
      <w:r>
        <w:t>Using scorecard.org and EJ Screen to identify issues for communities and stakeholders in communities</w:t>
      </w:r>
    </w:p>
    <w:p w:rsidR="00A05551" w:rsidRDefault="00A05551" w:rsidP="00A05551">
      <w:pPr>
        <w:ind w:left="720"/>
      </w:pPr>
    </w:p>
    <w:p w:rsidR="00A05551" w:rsidRDefault="00A05551" w:rsidP="00A05551">
      <w:pPr>
        <w:ind w:left="720"/>
      </w:pPr>
      <w:r>
        <w:t>Cultural competence</w:t>
      </w:r>
      <w:r w:rsidR="00AE3AFA">
        <w:t xml:space="preserve"> in outreach and facilitation, </w:t>
      </w:r>
      <w:r>
        <w:t>including poverty and digital access</w:t>
      </w:r>
    </w:p>
    <w:p w:rsidR="00A05551" w:rsidRDefault="00A05551" w:rsidP="00A05551">
      <w:pPr>
        <w:ind w:left="720"/>
      </w:pPr>
    </w:p>
    <w:p w:rsidR="00A05551" w:rsidRDefault="00A05551" w:rsidP="00A05551">
      <w:pPr>
        <w:ind w:left="720"/>
      </w:pPr>
      <w:r>
        <w:t xml:space="preserve">Building capacity in all stakeholders, </w:t>
      </w:r>
      <w:r w:rsidR="00B04261">
        <w:t>including internal coordination of convenor, and community capacity</w:t>
      </w:r>
      <w:r w:rsidR="00426B8B">
        <w:t>.</w:t>
      </w:r>
    </w:p>
    <w:p w:rsidR="00A05551" w:rsidRDefault="00A05551" w:rsidP="00A05551">
      <w:pPr>
        <w:ind w:left="720"/>
      </w:pPr>
    </w:p>
    <w:p w:rsidR="00A05551" w:rsidRDefault="00A05551" w:rsidP="00A05551">
      <w:pPr>
        <w:ind w:left="720"/>
      </w:pPr>
      <w:r>
        <w:lastRenderedPageBreak/>
        <w:t xml:space="preserve">Welcoming all, welcoming late comers, building principles of trust and mutual commitment to respect. </w:t>
      </w:r>
    </w:p>
    <w:p w:rsidR="009A4AC2" w:rsidRDefault="009A4AC2" w:rsidP="00A05551">
      <w:pPr>
        <w:ind w:left="720"/>
      </w:pPr>
    </w:p>
    <w:p w:rsidR="009A4AC2" w:rsidRPr="002F540A" w:rsidRDefault="00160AB3" w:rsidP="009A4AC2">
      <w:pPr>
        <w:rPr>
          <w:rFonts w:ascii="Avenir Next" w:hAnsi="Avenir Next"/>
        </w:rPr>
      </w:pPr>
      <w:r w:rsidRPr="002F540A">
        <w:rPr>
          <w:rFonts w:ascii="Avenir Next" w:hAnsi="Avenir Next"/>
        </w:rPr>
        <w:t>Public Participation Planning</w:t>
      </w:r>
    </w:p>
    <w:p w:rsidR="009A4AC2" w:rsidRDefault="009A4AC2" w:rsidP="009A4AC2"/>
    <w:p w:rsidR="009A4AC2" w:rsidRDefault="009A4AC2" w:rsidP="009A4AC2">
      <w:r>
        <w:tab/>
        <w:t xml:space="preserve">Outreach and the </w:t>
      </w:r>
      <w:r w:rsidRPr="009A4AC2">
        <w:t xml:space="preserve">Best Practices </w:t>
      </w:r>
      <w:r>
        <w:t>Handbook</w:t>
      </w:r>
    </w:p>
    <w:p w:rsidR="009A4AC2" w:rsidRDefault="009A4AC2" w:rsidP="009A4AC2"/>
    <w:p w:rsidR="009A4AC2" w:rsidRDefault="009A4AC2" w:rsidP="009A4AC2">
      <w:pPr>
        <w:ind w:left="720"/>
      </w:pPr>
      <w:r>
        <w:t>Cultural competence</w:t>
      </w:r>
      <w:r w:rsidR="004072DA">
        <w:t xml:space="preserve"> in outreach and facilitation, </w:t>
      </w:r>
      <w:r>
        <w:t>including poverty and digital access</w:t>
      </w:r>
    </w:p>
    <w:p w:rsidR="009A4AC2" w:rsidRDefault="009A4AC2" w:rsidP="009A4AC2">
      <w:pPr>
        <w:ind w:left="720"/>
      </w:pPr>
    </w:p>
    <w:p w:rsidR="009A4AC2" w:rsidRDefault="009A4AC2" w:rsidP="009A4AC2">
      <w:pPr>
        <w:ind w:left="720"/>
      </w:pPr>
      <w:r>
        <w:t>Building capacity in all stakeholders, most challenging first</w:t>
      </w:r>
    </w:p>
    <w:p w:rsidR="009A4AC2" w:rsidRDefault="009A4AC2" w:rsidP="009A4AC2">
      <w:pPr>
        <w:ind w:left="720"/>
      </w:pPr>
    </w:p>
    <w:p w:rsidR="009A4AC2" w:rsidRDefault="009A4AC2" w:rsidP="009A4AC2">
      <w:pPr>
        <w:ind w:left="720"/>
      </w:pPr>
      <w:r>
        <w:t xml:space="preserve">Welcoming all, welcoming late comers, building principles of trust and mutual commitment to respect. </w:t>
      </w:r>
    </w:p>
    <w:p w:rsidR="009A4AC2" w:rsidRDefault="009A4AC2" w:rsidP="009A4AC2">
      <w:pPr>
        <w:ind w:left="720"/>
      </w:pPr>
    </w:p>
    <w:p w:rsidR="00087990" w:rsidRDefault="009A4AC2" w:rsidP="009A4AC2">
      <w:r w:rsidRPr="00087990">
        <w:rPr>
          <w:rFonts w:ascii="Avenir Next" w:hAnsi="Avenir Next"/>
        </w:rPr>
        <w:t>Consideration</w:t>
      </w:r>
      <w:r w:rsidR="00087990" w:rsidRPr="00087990">
        <w:rPr>
          <w:rFonts w:ascii="Avenir Next" w:hAnsi="Avenir Next"/>
        </w:rPr>
        <w:t xml:space="preserve"> </w:t>
      </w:r>
      <w:r w:rsidR="002F540A" w:rsidRPr="00087990">
        <w:rPr>
          <w:rFonts w:ascii="Avenir Next" w:hAnsi="Avenir Next"/>
        </w:rPr>
        <w:t>of Public Inp</w:t>
      </w:r>
      <w:r w:rsidR="00087990" w:rsidRPr="00087990">
        <w:rPr>
          <w:rFonts w:ascii="Avenir Next" w:hAnsi="Avenir Next"/>
        </w:rPr>
        <w:t>u</w:t>
      </w:r>
      <w:r w:rsidR="002F540A" w:rsidRPr="00087990">
        <w:rPr>
          <w:rFonts w:ascii="Avenir Next" w:hAnsi="Avenir Next"/>
        </w:rPr>
        <w:t>ts</w:t>
      </w:r>
      <w:r w:rsidR="00087990">
        <w:t xml:space="preserve"> (</w:t>
      </w:r>
      <w:r w:rsidR="00AE3AFA">
        <w:t xml:space="preserve">wait, </w:t>
      </w:r>
      <w:r w:rsidR="00087990">
        <w:t>you aren’t f</w:t>
      </w:r>
      <w:r w:rsidR="00733076">
        <w:t>i</w:t>
      </w:r>
      <w:r w:rsidR="00087990">
        <w:t xml:space="preserve">nished yet): </w:t>
      </w:r>
    </w:p>
    <w:p w:rsidR="00CF784A" w:rsidRDefault="00087990" w:rsidP="009A4AC2">
      <w:r>
        <w:t xml:space="preserve"> </w:t>
      </w:r>
    </w:p>
    <w:p w:rsidR="009A4AC2" w:rsidRDefault="009A4AC2" w:rsidP="00CF784A">
      <w:pPr>
        <w:ind w:left="720"/>
      </w:pPr>
      <w:r>
        <w:t>All forms of knowledge matter</w:t>
      </w:r>
      <w:r w:rsidR="00C506F4">
        <w:t xml:space="preserve">, </w:t>
      </w:r>
      <w:r w:rsidR="006E60B3">
        <w:t xml:space="preserve">including </w:t>
      </w:r>
      <w:r w:rsidR="00C506F4">
        <w:t>community interpretation of meaning</w:t>
      </w:r>
    </w:p>
    <w:p w:rsidR="0038675E" w:rsidRDefault="0038675E" w:rsidP="00CF784A">
      <w:pPr>
        <w:ind w:left="720"/>
      </w:pPr>
    </w:p>
    <w:p w:rsidR="00C506F4" w:rsidRDefault="00C506F4" w:rsidP="00C506F4">
      <w:pPr>
        <w:ind w:left="720"/>
      </w:pPr>
    </w:p>
    <w:p w:rsidR="006B4230" w:rsidRDefault="00C506F4" w:rsidP="006B4230">
      <w:r w:rsidRPr="006B4230">
        <w:rPr>
          <w:rFonts w:ascii="Avenir Next" w:hAnsi="Avenir Next"/>
        </w:rPr>
        <w:t>Planning for accountability to all stakeholders</w:t>
      </w:r>
      <w:r w:rsidR="006B4230" w:rsidRPr="006B4230">
        <w:t xml:space="preserve"> </w:t>
      </w:r>
    </w:p>
    <w:p w:rsidR="006B4230" w:rsidRDefault="006B4230" w:rsidP="006B4230">
      <w:pPr>
        <w:ind w:left="720"/>
      </w:pPr>
    </w:p>
    <w:p w:rsidR="006B4230" w:rsidRDefault="006B4230" w:rsidP="006B4230">
      <w:pPr>
        <w:ind w:left="720"/>
      </w:pPr>
      <w:r>
        <w:t>i</w:t>
      </w:r>
      <w:bookmarkStart w:id="0" w:name="_GoBack"/>
      <w:bookmarkEnd w:id="0"/>
      <w:r>
        <w:t>nclusion of stakeholders who will be affected in determining how to measure success</w:t>
      </w:r>
    </w:p>
    <w:p w:rsidR="009A4AC2" w:rsidRPr="006B4230" w:rsidRDefault="009A4AC2" w:rsidP="006B4230">
      <w:pPr>
        <w:rPr>
          <w:rFonts w:ascii="Avenir Next" w:hAnsi="Avenir Next"/>
        </w:rPr>
      </w:pPr>
    </w:p>
    <w:p w:rsidR="006E46CF" w:rsidRPr="0001371E" w:rsidRDefault="005C4BD6" w:rsidP="0031329B">
      <w:pPr>
        <w:pStyle w:val="Heading1"/>
        <w:rPr>
          <w:rFonts w:ascii="Avenir Next Medium" w:hAnsi="Avenir Next Medium"/>
        </w:rPr>
      </w:pPr>
      <w:r>
        <w:rPr>
          <w:rFonts w:ascii="Avenir Next Medium" w:hAnsi="Avenir Next Medium"/>
        </w:rPr>
        <w:lastRenderedPageBreak/>
        <w:t>An</w:t>
      </w:r>
      <w:r w:rsidRPr="0001371E">
        <w:rPr>
          <w:rFonts w:ascii="Avenir Next Medium" w:hAnsi="Avenir Next Medium"/>
        </w:rPr>
        <w:t xml:space="preserve"> </w:t>
      </w:r>
      <w:r w:rsidR="00644FAC" w:rsidRPr="0001371E">
        <w:rPr>
          <w:rFonts w:ascii="Avenir Next Medium" w:hAnsi="Avenir Next Medium"/>
        </w:rPr>
        <w:t xml:space="preserve">Example:  Integrating </w:t>
      </w:r>
      <w:r w:rsidR="00182189" w:rsidRPr="0001371E">
        <w:rPr>
          <w:rFonts w:ascii="Avenir Next Medium" w:hAnsi="Avenir Next Medium"/>
        </w:rPr>
        <w:t xml:space="preserve">Principles with </w:t>
      </w:r>
      <w:r w:rsidR="00644FAC" w:rsidRPr="0001371E">
        <w:rPr>
          <w:rFonts w:ascii="Avenir Next Medium" w:hAnsi="Avenir Next Medium"/>
        </w:rPr>
        <w:t>Tools</w:t>
      </w:r>
      <w:r w:rsidR="006E46CF" w:rsidRPr="0001371E">
        <w:rPr>
          <w:rFonts w:ascii="Avenir Next Medium" w:hAnsi="Avenir Next Medium"/>
        </w:rPr>
        <w:t>:</w:t>
      </w:r>
      <w:r>
        <w:rPr>
          <w:rFonts w:ascii="Avenir Next Medium" w:hAnsi="Avenir Next Medium"/>
        </w:rPr>
        <w:t xml:space="preserve"> </w:t>
      </w:r>
      <w:r w:rsidR="006E46CF" w:rsidRPr="0001371E">
        <w:rPr>
          <w:rFonts w:ascii="Avenir Next Medium" w:hAnsi="Avenir Next Medium"/>
        </w:rPr>
        <w:t>Cleaner Air Oregon</w:t>
      </w:r>
      <w:r w:rsidR="007902E9">
        <w:rPr>
          <w:rStyle w:val="FootnoteReference"/>
          <w:rFonts w:ascii="Avenir Next Medium" w:hAnsi="Avenir Next Medium"/>
        </w:rPr>
        <w:footnoteReference w:id="14"/>
      </w:r>
    </w:p>
    <w:p w:rsidR="00644FAC" w:rsidRPr="007902E9" w:rsidRDefault="00644FAC" w:rsidP="00644FAC">
      <w:pPr>
        <w:pStyle w:val="Heading2"/>
        <w:rPr>
          <w:rFonts w:ascii="Avenir Next Medium" w:hAnsi="Avenir Next Medium"/>
          <w:b w:val="0"/>
        </w:rPr>
      </w:pPr>
      <w:r w:rsidRPr="007902E9">
        <w:rPr>
          <w:rFonts w:ascii="Avenir Next Medium" w:hAnsi="Avenir Next Medium"/>
          <w:b w:val="0"/>
        </w:rPr>
        <w:t>Scoping and Capacity Building</w:t>
      </w:r>
      <w:r w:rsidR="00D27F42">
        <w:rPr>
          <w:rFonts w:ascii="Avenir Next Medium" w:hAnsi="Avenir Next Medium"/>
          <w:b w:val="0"/>
        </w:rPr>
        <w:t>: The Problem and the Rulemaking</w:t>
      </w:r>
    </w:p>
    <w:p w:rsidR="005C4BD6" w:rsidRDefault="005C4BD6" w:rsidP="007902E9">
      <w:pPr>
        <w:ind w:left="720"/>
      </w:pPr>
    </w:p>
    <w:p w:rsidR="00644FAC" w:rsidRPr="005C4BD6" w:rsidRDefault="00734A6F" w:rsidP="005C4BD6">
      <w:pPr>
        <w:pStyle w:val="ListParagraph"/>
        <w:numPr>
          <w:ilvl w:val="0"/>
          <w:numId w:val="8"/>
        </w:numPr>
        <w:rPr>
          <w:rStyle w:val="Strong"/>
          <w:rFonts w:ascii="Helvetica" w:eastAsia="Times New Roman" w:hAnsi="Helvetica" w:cs="Times New Roman"/>
          <w:color w:val="000000"/>
          <w:sz w:val="21"/>
          <w:szCs w:val="21"/>
        </w:rPr>
      </w:pPr>
      <w:hyperlink r:id="rId12" w:history="1">
        <w:r w:rsidR="007902E9" w:rsidRPr="007902E9">
          <w:rPr>
            <w:rStyle w:val="Hyperlink"/>
          </w:rPr>
          <w:t>http://cleanerair.oregon.gov/regulatory-reform/</w:t>
        </w:r>
      </w:hyperlink>
      <w:r w:rsidR="007902E9">
        <w:t xml:space="preserve"> </w:t>
      </w:r>
    </w:p>
    <w:p w:rsidR="007902E9" w:rsidRDefault="007902E9" w:rsidP="007902E9">
      <w:pPr>
        <w:ind w:left="720"/>
        <w:rPr>
          <w:rStyle w:val="Strong"/>
          <w:rFonts w:ascii="Helvetica" w:eastAsia="Times New Roman" w:hAnsi="Helvetica" w:cs="Times New Roman"/>
          <w:color w:val="000000"/>
          <w:sz w:val="21"/>
          <w:szCs w:val="21"/>
        </w:rPr>
      </w:pPr>
    </w:p>
    <w:p w:rsidR="007902E9" w:rsidRPr="00D07546" w:rsidRDefault="00734A6F" w:rsidP="00D07546">
      <w:pPr>
        <w:pStyle w:val="ListParagraph"/>
        <w:numPr>
          <w:ilvl w:val="0"/>
          <w:numId w:val="7"/>
        </w:numPr>
        <w:rPr>
          <w:rFonts w:ascii="Avenir Next Regular" w:eastAsia="Times New Roman" w:hAnsi="Avenir Next Regular" w:cs="Times New Roman"/>
          <w:bCs/>
          <w:color w:val="000000"/>
        </w:rPr>
      </w:pPr>
      <w:hyperlink r:id="rId13" w:history="1">
        <w:r w:rsidR="005C4BD6" w:rsidRPr="005C4BD6">
          <w:rPr>
            <w:rStyle w:val="Hyperlink"/>
            <w:rFonts w:ascii="Avenir Next Regular" w:eastAsia="Times New Roman" w:hAnsi="Avenir Next Regular" w:cs="Times New Roman"/>
            <w:bCs/>
          </w:rPr>
          <w:t>http://cleanerair.oregon.gov/regulatory-reform/technical-workgroup/</w:t>
        </w:r>
      </w:hyperlink>
      <w:r w:rsidR="007902E9" w:rsidRPr="00D07546">
        <w:rPr>
          <w:rFonts w:ascii="Avenir Next Regular" w:eastAsia="Times New Roman" w:hAnsi="Avenir Next Regular" w:cs="Times New Roman"/>
          <w:bCs/>
          <w:color w:val="000000"/>
        </w:rPr>
        <w:t xml:space="preserve"> </w:t>
      </w:r>
    </w:p>
    <w:p w:rsidR="007902E9" w:rsidRPr="007902E9" w:rsidRDefault="007902E9" w:rsidP="007902E9">
      <w:pPr>
        <w:ind w:left="720"/>
        <w:rPr>
          <w:rFonts w:ascii="Helvetica" w:eastAsia="Times New Roman" w:hAnsi="Helvetica" w:cs="Times New Roman"/>
          <w:b/>
          <w:bCs/>
          <w:color w:val="000000"/>
          <w:sz w:val="21"/>
          <w:szCs w:val="21"/>
        </w:rPr>
      </w:pPr>
    </w:p>
    <w:p w:rsidR="00644FAC" w:rsidRPr="007902E9" w:rsidRDefault="00644FAC" w:rsidP="00644FAC">
      <w:pPr>
        <w:pStyle w:val="Heading2"/>
        <w:rPr>
          <w:rFonts w:ascii="Avenir Next Medium" w:hAnsi="Avenir Next Medium"/>
          <w:b w:val="0"/>
        </w:rPr>
      </w:pPr>
      <w:r w:rsidRPr="007902E9">
        <w:rPr>
          <w:rFonts w:ascii="Avenir Next Medium" w:hAnsi="Avenir Next Medium"/>
          <w:b w:val="0"/>
        </w:rPr>
        <w:t>Identification of impacted communities and Capacity Building</w:t>
      </w:r>
      <w:r w:rsidR="00D27F42">
        <w:rPr>
          <w:rFonts w:ascii="Avenir Next Medium" w:hAnsi="Avenir Next Medium"/>
          <w:b w:val="0"/>
        </w:rPr>
        <w:t>: Who is Missing?</w:t>
      </w:r>
    </w:p>
    <w:p w:rsidR="007902E9" w:rsidRDefault="007902E9" w:rsidP="007902E9">
      <w:pPr>
        <w:ind w:left="1440"/>
      </w:pPr>
    </w:p>
    <w:p w:rsidR="007902E9" w:rsidRDefault="007902E9" w:rsidP="005C4BD6">
      <w:pPr>
        <w:pStyle w:val="ListParagraph"/>
        <w:numPr>
          <w:ilvl w:val="0"/>
          <w:numId w:val="7"/>
        </w:numPr>
      </w:pPr>
      <w:r>
        <w:t>Advisory committee selection process</w:t>
      </w:r>
    </w:p>
    <w:p w:rsidR="007902E9" w:rsidRDefault="007902E9" w:rsidP="007902E9">
      <w:pPr>
        <w:ind w:left="1440"/>
      </w:pPr>
      <w:r>
        <w:t xml:space="preserve"> </w:t>
      </w:r>
    </w:p>
    <w:p w:rsidR="007902E9" w:rsidRDefault="007902E9" w:rsidP="007902E9">
      <w:pPr>
        <w:ind w:left="720"/>
      </w:pPr>
      <w:r>
        <w:t>The advisory committee selection process was designed to reflect the range of stakeholders who will be affected by implementation of a new air toxics permitting program. DEQ and OHA identified 14 committee seats, which were filled by nominees from stakeholder organizations. An additional 10 seats were created based on input received from the public during a comment period that was open between May and July. For information on what input was requested, please refer to Cleaner Air Oregon: Request for Input on Advisory Committee Positions.</w:t>
      </w:r>
    </w:p>
    <w:p w:rsidR="007902E9" w:rsidRDefault="007902E9" w:rsidP="007902E9">
      <w:pPr>
        <w:ind w:left="720"/>
      </w:pPr>
      <w:r>
        <w:t>A total of 41 applications were received for the following 10 seats established in response to public input:</w:t>
      </w:r>
    </w:p>
    <w:p w:rsidR="007902E9" w:rsidRDefault="007902E9" w:rsidP="005C4BD6">
      <w:pPr>
        <w:ind w:left="1440"/>
      </w:pPr>
      <w:r>
        <w:t>•</w:t>
      </w:r>
      <w:r>
        <w:tab/>
        <w:t>Physicians association or healthcare advocacy organization</w:t>
      </w:r>
    </w:p>
    <w:p w:rsidR="007902E9" w:rsidRDefault="007902E9" w:rsidP="005C4BD6">
      <w:pPr>
        <w:ind w:left="1440"/>
      </w:pPr>
      <w:r>
        <w:t>•</w:t>
      </w:r>
      <w:r>
        <w:tab/>
        <w:t>Professional health association</w:t>
      </w:r>
    </w:p>
    <w:p w:rsidR="007902E9" w:rsidRDefault="007902E9" w:rsidP="005C4BD6">
      <w:pPr>
        <w:ind w:left="1440"/>
      </w:pPr>
      <w:r>
        <w:t>•</w:t>
      </w:r>
      <w:r>
        <w:tab/>
        <w:t xml:space="preserve">Neighborhood-level community based group (Preference will be given to groups willing to </w:t>
      </w:r>
      <w:r>
        <w:lastRenderedPageBreak/>
        <w:t>represent multiple geographic community-based coalitions.)*</w:t>
      </w:r>
    </w:p>
    <w:p w:rsidR="007902E9" w:rsidRDefault="007902E9" w:rsidP="005C4BD6">
      <w:pPr>
        <w:ind w:left="1440"/>
      </w:pPr>
      <w:r>
        <w:t>•</w:t>
      </w:r>
      <w:r>
        <w:tab/>
        <w:t>Neighborhood-level community based group (Preference will be given to groups willing to represent multiple geographic community-based coalitions.)*</w:t>
      </w:r>
    </w:p>
    <w:p w:rsidR="007902E9" w:rsidRDefault="007902E9" w:rsidP="005C4BD6">
      <w:pPr>
        <w:ind w:left="1440"/>
      </w:pPr>
      <w:r>
        <w:t>•</w:t>
      </w:r>
      <w:r>
        <w:tab/>
        <w:t>Business owner of a small business with fewer than 50 employees*</w:t>
      </w:r>
    </w:p>
    <w:p w:rsidR="007902E9" w:rsidRDefault="007902E9" w:rsidP="005C4BD6">
      <w:pPr>
        <w:ind w:left="1440"/>
      </w:pPr>
      <w:r>
        <w:t>•</w:t>
      </w:r>
      <w:r>
        <w:tab/>
        <w:t>Business owner of a small business with fewer than 50 employees*</w:t>
      </w:r>
    </w:p>
    <w:p w:rsidR="007902E9" w:rsidRDefault="007902E9" w:rsidP="005C4BD6">
      <w:pPr>
        <w:ind w:left="1440"/>
      </w:pPr>
      <w:r>
        <w:t>•</w:t>
      </w:r>
      <w:r>
        <w:tab/>
        <w:t>Business owner of a large business with more than 50 employees*</w:t>
      </w:r>
    </w:p>
    <w:p w:rsidR="007902E9" w:rsidRDefault="007902E9" w:rsidP="005C4BD6">
      <w:pPr>
        <w:ind w:left="1440"/>
      </w:pPr>
      <w:r>
        <w:t>•</w:t>
      </w:r>
      <w:r>
        <w:tab/>
        <w:t>An industry union representative</w:t>
      </w:r>
    </w:p>
    <w:p w:rsidR="007902E9" w:rsidRDefault="007902E9" w:rsidP="005C4BD6">
      <w:pPr>
        <w:ind w:left="1440"/>
      </w:pPr>
      <w:r>
        <w:t>•</w:t>
      </w:r>
      <w:r>
        <w:tab/>
        <w:t>An engineer or individual with experience in pollution control technology for air toxics</w:t>
      </w:r>
    </w:p>
    <w:p w:rsidR="007902E9" w:rsidRDefault="007902E9" w:rsidP="005C4BD6">
      <w:pPr>
        <w:ind w:left="1440"/>
      </w:pPr>
      <w:r>
        <w:t>•</w:t>
      </w:r>
      <w:r>
        <w:tab/>
        <w:t>An academic with expertise relevant to this rulemaking</w:t>
      </w:r>
    </w:p>
    <w:p w:rsidR="007902E9" w:rsidRDefault="007902E9" w:rsidP="007902E9">
      <w:pPr>
        <w:ind w:left="1440"/>
      </w:pPr>
      <w:r>
        <w:t xml:space="preserve"> </w:t>
      </w:r>
    </w:p>
    <w:p w:rsidR="007902E9" w:rsidRDefault="007902E9" w:rsidP="005C4BD6">
      <w:pPr>
        <w:ind w:left="1440"/>
      </w:pPr>
      <w:r>
        <w:t>Each of Oregon’s nine federally-recognized tribes also has the opportunity to designate an additional committee member.</w:t>
      </w:r>
    </w:p>
    <w:p w:rsidR="007902E9" w:rsidRDefault="007902E9" w:rsidP="005C4BD6">
      <w:pPr>
        <w:ind w:left="1440"/>
      </w:pPr>
      <w:r>
        <w:t xml:space="preserve"> </w:t>
      </w:r>
    </w:p>
    <w:p w:rsidR="00644FAC" w:rsidRDefault="007902E9" w:rsidP="005C4BD6">
      <w:pPr>
        <w:ind w:left="1440"/>
      </w:pPr>
      <w:r>
        <w:t xml:space="preserve">Additionally, agency directors appointed two co-chairs to the advisory committee: Jackie Dingfelder and Claudia Powers. The role of the co-chairs is to implement a process that focuses the committee on intended outcomes and ensures all perspectives are considered and provides transparency. </w:t>
      </w:r>
    </w:p>
    <w:p w:rsidR="00D07546" w:rsidRDefault="00D07546" w:rsidP="00D07546">
      <w:pPr>
        <w:ind w:left="720"/>
      </w:pPr>
    </w:p>
    <w:p w:rsidR="00D07546" w:rsidRPr="00D07546" w:rsidRDefault="00734A6F" w:rsidP="00D07546">
      <w:pPr>
        <w:pStyle w:val="ListParagraph"/>
        <w:numPr>
          <w:ilvl w:val="0"/>
          <w:numId w:val="6"/>
        </w:numPr>
      </w:pPr>
      <w:hyperlink r:id="rId14" w:history="1">
        <w:r w:rsidR="00D07546" w:rsidRPr="008627E1">
          <w:rPr>
            <w:rStyle w:val="Hyperlink"/>
          </w:rPr>
          <w:t>http://cleanerair.oregon.gov/participate/</w:t>
        </w:r>
      </w:hyperlink>
      <w:r w:rsidR="00D07546">
        <w:t xml:space="preserve"> </w:t>
      </w:r>
    </w:p>
    <w:p w:rsidR="0001371E" w:rsidRPr="00B20374" w:rsidRDefault="005C4BD6" w:rsidP="0001371E">
      <w:pPr>
        <w:pStyle w:val="Heading2"/>
        <w:rPr>
          <w:rFonts w:ascii="Avenir Next Medium" w:hAnsi="Avenir Next Medium"/>
          <w:b w:val="0"/>
        </w:rPr>
      </w:pPr>
      <w:r w:rsidRPr="00B20374">
        <w:rPr>
          <w:rFonts w:ascii="Avenir Next Medium" w:hAnsi="Avenir Next Medium"/>
          <w:b w:val="0"/>
        </w:rPr>
        <w:lastRenderedPageBreak/>
        <w:t xml:space="preserve">Modes of Inclusion; inadequacies of notice and comment format as well as traditional presentation format.  </w:t>
      </w:r>
      <w:r w:rsidR="0001371E" w:rsidRPr="00B20374">
        <w:rPr>
          <w:rFonts w:ascii="Avenir Next Medium" w:hAnsi="Avenir Next Medium"/>
          <w:b w:val="0"/>
        </w:rPr>
        <w:t>Outreach, Event planning for Discourse: Importance of the Host’s cultural (race, class, and gender) competence and Capacity Building</w:t>
      </w:r>
    </w:p>
    <w:p w:rsidR="0001371E" w:rsidRDefault="00734A6F" w:rsidP="00D07546">
      <w:pPr>
        <w:pStyle w:val="Heading2"/>
        <w:numPr>
          <w:ilvl w:val="0"/>
          <w:numId w:val="6"/>
        </w:numPr>
        <w:rPr>
          <w:rFonts w:ascii="Avenir Next Regular" w:hAnsi="Avenir Next Regular"/>
          <w:b w:val="0"/>
        </w:rPr>
      </w:pPr>
      <w:hyperlink r:id="rId15" w:history="1">
        <w:r w:rsidR="00D07546" w:rsidRPr="00D07546">
          <w:rPr>
            <w:rStyle w:val="Hyperlink"/>
            <w:rFonts w:ascii="Avenir Next Regular" w:hAnsi="Avenir Next Regular"/>
            <w:b w:val="0"/>
          </w:rPr>
          <w:t>http://cleanerair.oregon.gov/regulatory-reform/</w:t>
        </w:r>
      </w:hyperlink>
      <w:r w:rsidR="00D07546">
        <w:rPr>
          <w:rFonts w:ascii="Avenir Next Regular" w:hAnsi="Avenir Next Regular"/>
          <w:b w:val="0"/>
        </w:rPr>
        <w:t xml:space="preserve">   </w:t>
      </w:r>
    </w:p>
    <w:p w:rsidR="0001371E" w:rsidRPr="00B20374" w:rsidRDefault="0001371E" w:rsidP="00644FAC">
      <w:pPr>
        <w:pStyle w:val="Heading2"/>
        <w:rPr>
          <w:rFonts w:ascii="Avenir Next Medium" w:hAnsi="Avenir Next Medium"/>
          <w:b w:val="0"/>
        </w:rPr>
      </w:pPr>
      <w:r w:rsidRPr="00B20374">
        <w:rPr>
          <w:rFonts w:ascii="Avenir Next Medium" w:hAnsi="Avenir Next Medium"/>
          <w:b w:val="0"/>
        </w:rPr>
        <w:t xml:space="preserve">Inclusion in Data Collection and Curation: What Counts as Knowledge and Information </w:t>
      </w:r>
    </w:p>
    <w:p w:rsidR="0001371E" w:rsidRDefault="0001371E" w:rsidP="0001371E"/>
    <w:p w:rsidR="00D07546" w:rsidRPr="0001371E" w:rsidRDefault="00734A6F" w:rsidP="00D07546">
      <w:pPr>
        <w:pStyle w:val="ListParagraph"/>
        <w:numPr>
          <w:ilvl w:val="0"/>
          <w:numId w:val="6"/>
        </w:numPr>
      </w:pPr>
      <w:hyperlink r:id="rId16" w:history="1">
        <w:r w:rsidR="00D07546" w:rsidRPr="008627E1">
          <w:rPr>
            <w:rStyle w:val="Hyperlink"/>
          </w:rPr>
          <w:t>http://cleanerair.oregon.gov/data-and-current-actions/</w:t>
        </w:r>
      </w:hyperlink>
      <w:r w:rsidR="00D07546">
        <w:t xml:space="preserve"> </w:t>
      </w:r>
      <w:r w:rsidR="00D07546" w:rsidRPr="0001371E">
        <w:t xml:space="preserve"> </w:t>
      </w:r>
    </w:p>
    <w:p w:rsidR="0001371E" w:rsidRPr="00B20374" w:rsidRDefault="0001371E" w:rsidP="00644FAC">
      <w:pPr>
        <w:pStyle w:val="Heading2"/>
        <w:rPr>
          <w:rFonts w:ascii="Avenir Next Medium" w:hAnsi="Avenir Next Medium"/>
          <w:b w:val="0"/>
        </w:rPr>
      </w:pPr>
      <w:r w:rsidRPr="00B20374">
        <w:rPr>
          <w:rFonts w:ascii="Avenir Next Medium" w:hAnsi="Avenir Next Medium"/>
          <w:b w:val="0"/>
        </w:rPr>
        <w:t>Accountability to Participants, Measurements of Success, and Interpretation of Meaning</w:t>
      </w:r>
    </w:p>
    <w:p w:rsidR="0001371E" w:rsidRDefault="0001371E" w:rsidP="0001371E">
      <w:pPr>
        <w:ind w:left="720"/>
      </w:pPr>
    </w:p>
    <w:p w:rsidR="00FE2DCE" w:rsidRPr="005C4BD6" w:rsidRDefault="00D07546" w:rsidP="005C4BD6">
      <w:pPr>
        <w:pStyle w:val="ListParagraph"/>
        <w:numPr>
          <w:ilvl w:val="0"/>
          <w:numId w:val="6"/>
        </w:numPr>
      </w:pPr>
      <w:r w:rsidRPr="00D07546">
        <w:t>http://cleanerair.oregon.gov/data-and-current-actions/</w:t>
      </w:r>
      <w:hyperlink r:id="rId17" w:history="1">
        <w:r w:rsidRPr="00D07546">
          <w:rPr>
            <w:rStyle w:val="Hyperlink"/>
          </w:rPr>
          <w:t>http://cleanerair.oregon.gov/data-and-current-actions/</w:t>
        </w:r>
      </w:hyperlink>
    </w:p>
    <w:sectPr w:rsidR="00FE2DCE" w:rsidRPr="005C4BD6" w:rsidSect="00C37895">
      <w:footerReference w:type="even" r:id="rId18"/>
      <w:footerReference w:type="default" r:id="rId19"/>
      <w:pgSz w:w="12240" w:h="15840"/>
      <w:pgMar w:top="1440" w:right="1800" w:bottom="1440" w:left="1800" w:header="1728" w:footer="172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D4" w:rsidRDefault="006328D4" w:rsidP="000F2C3E">
      <w:r>
        <w:separator/>
      </w:r>
    </w:p>
  </w:endnote>
  <w:endnote w:type="continuationSeparator" w:id="0">
    <w:p w:rsidR="006328D4" w:rsidRDefault="006328D4" w:rsidP="000F2C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venir Next Regular">
    <w:altName w:val="Arial"/>
    <w:charset w:val="00"/>
    <w:family w:val="swiss"/>
    <w:pitch w:val="variable"/>
    <w:sig w:usb0="00000001" w:usb1="5000204A" w:usb2="00000000" w:usb3="00000000" w:csb0="0000009B" w:csb1="00000000"/>
  </w:font>
  <w:font w:name="Avenir Next Medium">
    <w:altName w:val="Trebuchet MS"/>
    <w:charset w:val="00"/>
    <w:family w:val="swiss"/>
    <w:pitch w:val="variable"/>
    <w:sig w:usb0="00000001" w:usb1="5000204A" w:usb2="00000000" w:usb3="00000000" w:csb0="0000009B" w:csb1="00000000"/>
  </w:font>
  <w:font w:name="Helvetica">
    <w:panose1 w:val="020B0504020202020204"/>
    <w:charset w:val="00"/>
    <w:family w:val="swiss"/>
    <w:notTrueType/>
    <w:pitch w:val="variable"/>
    <w:sig w:usb0="00000003" w:usb1="00000000" w:usb2="00000000" w:usb3="00000000" w:csb0="00000001" w:csb1="00000000"/>
  </w:font>
  <w:font w:name="Avenir Next">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46" w:rsidRDefault="00734A6F" w:rsidP="0031329B">
    <w:pPr>
      <w:pStyle w:val="Footer"/>
      <w:framePr w:wrap="around" w:vAnchor="text" w:hAnchor="margin" w:xAlign="right" w:y="1"/>
      <w:rPr>
        <w:rStyle w:val="PageNumber"/>
      </w:rPr>
    </w:pPr>
    <w:r>
      <w:rPr>
        <w:rStyle w:val="PageNumber"/>
      </w:rPr>
      <w:fldChar w:fldCharType="begin"/>
    </w:r>
    <w:r w:rsidR="00D07546">
      <w:rPr>
        <w:rStyle w:val="PageNumber"/>
      </w:rPr>
      <w:instrText xml:space="preserve">PAGE  </w:instrText>
    </w:r>
    <w:r>
      <w:rPr>
        <w:rStyle w:val="PageNumber"/>
      </w:rPr>
      <w:fldChar w:fldCharType="end"/>
    </w:r>
  </w:p>
  <w:p w:rsidR="00D07546" w:rsidRDefault="00D07546" w:rsidP="003132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46" w:rsidRDefault="00734A6F" w:rsidP="0031329B">
    <w:pPr>
      <w:pStyle w:val="Footer"/>
      <w:framePr w:wrap="around" w:vAnchor="text" w:hAnchor="margin" w:xAlign="right" w:y="1"/>
      <w:rPr>
        <w:rStyle w:val="PageNumber"/>
      </w:rPr>
    </w:pPr>
    <w:r>
      <w:rPr>
        <w:rStyle w:val="PageNumber"/>
      </w:rPr>
      <w:fldChar w:fldCharType="begin"/>
    </w:r>
    <w:r w:rsidR="00D07546">
      <w:rPr>
        <w:rStyle w:val="PageNumber"/>
      </w:rPr>
      <w:instrText xml:space="preserve">PAGE  </w:instrText>
    </w:r>
    <w:r>
      <w:rPr>
        <w:rStyle w:val="PageNumber"/>
      </w:rPr>
      <w:fldChar w:fldCharType="separate"/>
    </w:r>
    <w:r w:rsidR="00CE4319">
      <w:rPr>
        <w:rStyle w:val="PageNumber"/>
        <w:noProof/>
      </w:rPr>
      <w:t>10</w:t>
    </w:r>
    <w:r>
      <w:rPr>
        <w:rStyle w:val="PageNumber"/>
      </w:rPr>
      <w:fldChar w:fldCharType="end"/>
    </w:r>
  </w:p>
  <w:p w:rsidR="00D07546" w:rsidRDefault="00D07546" w:rsidP="0031329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D4" w:rsidRDefault="006328D4" w:rsidP="000F2C3E">
      <w:r>
        <w:separator/>
      </w:r>
    </w:p>
  </w:footnote>
  <w:footnote w:type="continuationSeparator" w:id="0">
    <w:p w:rsidR="006328D4" w:rsidRDefault="006328D4" w:rsidP="000F2C3E">
      <w:r>
        <w:continuationSeparator/>
      </w:r>
    </w:p>
  </w:footnote>
  <w:footnote w:id="1">
    <w:p w:rsidR="00D07546" w:rsidRDefault="00D07546">
      <w:pPr>
        <w:pStyle w:val="FootnoteText"/>
      </w:pPr>
      <w:r>
        <w:rPr>
          <w:rStyle w:val="FootnoteReference"/>
        </w:rPr>
        <w:footnoteRef/>
      </w:r>
      <w:r>
        <w:t xml:space="preserve"> </w:t>
      </w:r>
      <w:hyperlink r:id="rId1" w:history="1">
        <w:r w:rsidRPr="004200A2">
          <w:rPr>
            <w:rStyle w:val="Hyperlink"/>
          </w:rPr>
          <w:t>https://www.nrc.gov/docs/ML1310/ML13109A339.pdf</w:t>
        </w:r>
      </w:hyperlink>
      <w:r>
        <w:t xml:space="preserve"> (page last visited August 27, 2017).</w:t>
      </w:r>
    </w:p>
  </w:footnote>
  <w:footnote w:id="2">
    <w:p w:rsidR="00D07546" w:rsidRDefault="00D07546">
      <w:pPr>
        <w:pStyle w:val="FootnoteText"/>
      </w:pPr>
      <w:r>
        <w:rPr>
          <w:rStyle w:val="FootnoteReference"/>
        </w:rPr>
        <w:footnoteRef/>
      </w:r>
      <w:r>
        <w:t xml:space="preserve"> </w:t>
      </w:r>
      <w:hyperlink r:id="rId2" w:history="1">
        <w:r w:rsidRPr="004200A2">
          <w:rPr>
            <w:rStyle w:val="Hyperlink"/>
          </w:rPr>
          <w:t>https://www.amazon.com/Robert-D.-Bullard/e/B001ITYMI8/ref=dp_byline_cont_book_1</w:t>
        </w:r>
      </w:hyperlink>
      <w:r>
        <w:t xml:space="preserve"> (page last visited August 27, 2017).</w:t>
      </w:r>
    </w:p>
  </w:footnote>
  <w:footnote w:id="3">
    <w:p w:rsidR="00D07546" w:rsidRDefault="00D07546">
      <w:pPr>
        <w:pStyle w:val="FootnoteText"/>
      </w:pPr>
      <w:r>
        <w:rPr>
          <w:rStyle w:val="FootnoteReference"/>
        </w:rPr>
        <w:footnoteRef/>
      </w:r>
      <w:r>
        <w:t xml:space="preserve"> </w:t>
      </w:r>
      <w:hyperlink r:id="rId3" w:history="1">
        <w:r w:rsidRPr="004200A2">
          <w:rPr>
            <w:rStyle w:val="Hyperlink"/>
          </w:rPr>
          <w:t>https://papers.ssrn.com/sol3/results.cfm</w:t>
        </w:r>
      </w:hyperlink>
      <w:r>
        <w:t xml:space="preserve"> (page last visited August 27, 2017).</w:t>
      </w:r>
    </w:p>
    <w:p w:rsidR="00D07546" w:rsidRDefault="00734A6F">
      <w:pPr>
        <w:pStyle w:val="FootnoteText"/>
      </w:pPr>
      <w:hyperlink r:id="rId4" w:history="1">
        <w:r w:rsidR="00D07546" w:rsidRPr="004200A2">
          <w:rPr>
            <w:rStyle w:val="Hyperlink"/>
          </w:rPr>
          <w:t>https://www.amazon.com/Robin-Morris-Collin/e/B00QMXSMZO</w:t>
        </w:r>
      </w:hyperlink>
      <w:r w:rsidR="00D07546">
        <w:t xml:space="preserve"> (page last visited August 27, 2017).</w:t>
      </w:r>
    </w:p>
  </w:footnote>
  <w:footnote w:id="4">
    <w:p w:rsidR="00D07546" w:rsidRDefault="00D07546">
      <w:pPr>
        <w:pStyle w:val="FootnoteText"/>
      </w:pPr>
      <w:r>
        <w:rPr>
          <w:rStyle w:val="FootnoteReference"/>
        </w:rPr>
        <w:footnoteRef/>
      </w:r>
      <w:r>
        <w:t xml:space="preserve"> </w:t>
      </w:r>
      <w:hyperlink r:id="rId5" w:history="1">
        <w:r w:rsidRPr="004200A2">
          <w:rPr>
            <w:rStyle w:val="Hyperlink"/>
          </w:rPr>
          <w:t>https://www.researchgate.net/scientific-contributions/3538060_Paul_Slovic</w:t>
        </w:r>
      </w:hyperlink>
      <w:r>
        <w:t xml:space="preserve">; </w:t>
      </w:r>
      <w:hyperlink r:id="rId6" w:history="1">
        <w:r w:rsidRPr="004200A2">
          <w:rPr>
            <w:rStyle w:val="Hyperlink"/>
          </w:rPr>
          <w:t>https://www.ncjrs.gov/criminal_justice2000/vol_3/03j.pdf</w:t>
        </w:r>
      </w:hyperlink>
      <w:r>
        <w:t xml:space="preserve"> (page last visited August 27, 2017).</w:t>
      </w:r>
    </w:p>
  </w:footnote>
  <w:footnote w:id="5">
    <w:p w:rsidR="00F6346D" w:rsidRPr="00F6346D" w:rsidRDefault="00F6346D" w:rsidP="00457E7B">
      <w:pPr>
        <w:pStyle w:val="FootnoteText"/>
      </w:pPr>
      <w:r>
        <w:rPr>
          <w:rStyle w:val="FootnoteReference"/>
        </w:rPr>
        <w:footnoteRef/>
      </w:r>
      <w:r w:rsidR="00E5316A">
        <w:rPr>
          <w:b/>
        </w:rPr>
        <w:t xml:space="preserve"> </w:t>
      </w:r>
      <w:r w:rsidR="00E5316A" w:rsidRPr="00E5316A">
        <w:t>24th Annual Martin Luther King Jr. Breakfast</w:t>
      </w:r>
      <w:r w:rsidRPr="00F6346D">
        <w:t xml:space="preserve">, January 2010.  (Standing ovation from Senator Ron Wyden, Representative Blumenauer and others in attendance.) Address available online </w:t>
      </w:r>
      <w:r w:rsidR="00E5316A" w:rsidRPr="00E5316A">
        <w:t xml:space="preserve">at </w:t>
      </w:r>
      <w:hyperlink r:id="rId7" w:history="1">
        <w:r w:rsidR="00E5316A" w:rsidRPr="004761F0">
          <w:rPr>
            <w:rStyle w:val="Hyperlink"/>
          </w:rPr>
          <w:t>http://www.theskanner.com/npmtc-news/24018-24th-annual-martin-luther-king-jr-breakfast</w:t>
        </w:r>
      </w:hyperlink>
      <w:r w:rsidR="00E5316A">
        <w:t xml:space="preserve"> (page last visited September 17, 2017).</w:t>
      </w:r>
      <w:r w:rsidR="00457E7B" w:rsidRPr="00F6346D">
        <w:t xml:space="preserve"> </w:t>
      </w:r>
    </w:p>
    <w:p w:rsidR="00F6346D" w:rsidRDefault="00F6346D">
      <w:pPr>
        <w:pStyle w:val="FootnoteText"/>
      </w:pPr>
    </w:p>
  </w:footnote>
  <w:footnote w:id="6">
    <w:p w:rsidR="00D07546" w:rsidRDefault="00D07546">
      <w:pPr>
        <w:pStyle w:val="FootnoteText"/>
      </w:pPr>
      <w:r>
        <w:rPr>
          <w:rStyle w:val="FootnoteReference"/>
        </w:rPr>
        <w:footnoteRef/>
      </w:r>
      <w:r w:rsidR="00406D57">
        <w:t xml:space="preserve"> </w:t>
      </w:r>
      <w:r w:rsidR="00406D57" w:rsidRPr="003609A6">
        <w:rPr>
          <w:rFonts w:ascii="Avenir Next Regular" w:hAnsi="Avenir Next Regular"/>
        </w:rPr>
        <w:t>E</w:t>
      </w:r>
      <w:r w:rsidR="00406D57">
        <w:rPr>
          <w:rFonts w:ascii="Avenir Next Regular" w:hAnsi="Avenir Next Regular"/>
        </w:rPr>
        <w:t xml:space="preserve">nvironmental </w:t>
      </w:r>
      <w:r w:rsidR="00406D57" w:rsidRPr="003609A6">
        <w:rPr>
          <w:rFonts w:ascii="Avenir Next Regular" w:hAnsi="Avenir Next Regular"/>
        </w:rPr>
        <w:t>J</w:t>
      </w:r>
      <w:r w:rsidR="00406D57">
        <w:rPr>
          <w:rFonts w:ascii="Avenir Next Regular" w:hAnsi="Avenir Next Regular"/>
        </w:rPr>
        <w:t>ustice</w:t>
      </w:r>
      <w:r w:rsidR="00406D57" w:rsidRPr="003609A6">
        <w:rPr>
          <w:rFonts w:ascii="Avenir Next Regular" w:hAnsi="Avenir Next Regular"/>
        </w:rPr>
        <w:t xml:space="preserve"> in Oregon</w:t>
      </w:r>
      <w:r w:rsidR="00406D57">
        <w:rPr>
          <w:rFonts w:ascii="Avenir Next Regular" w:hAnsi="Avenir Next Regular"/>
        </w:rPr>
        <w:t>: It’s the Law</w:t>
      </w:r>
      <w:r>
        <w:t xml:space="preserve"> </w:t>
      </w:r>
      <w:hyperlink r:id="rId8" w:history="1">
        <w:r w:rsidRPr="008627E1">
          <w:rPr>
            <w:rStyle w:val="Hyperlink"/>
          </w:rPr>
          <w:t>http://elawreview.org/articles/volume-38/issue-38-2/environmental-justice-in-oregon-its-the-law/</w:t>
        </w:r>
      </w:hyperlink>
      <w:r>
        <w:t>. (page last visited August 28, 2017.)</w:t>
      </w:r>
    </w:p>
  </w:footnote>
  <w:footnote w:id="7">
    <w:p w:rsidR="00D07546" w:rsidRDefault="00D07546">
      <w:pPr>
        <w:pStyle w:val="FootnoteText"/>
      </w:pPr>
      <w:r>
        <w:rPr>
          <w:rStyle w:val="FootnoteReference"/>
        </w:rPr>
        <w:footnoteRef/>
      </w:r>
      <w:r w:rsidR="00406D57">
        <w:rPr>
          <w:rFonts w:ascii="Avenir Next Regular" w:hAnsi="Avenir Next Regular"/>
        </w:rPr>
        <w:t xml:space="preserve">Federal </w:t>
      </w:r>
      <w:r w:rsidR="00406D57" w:rsidRPr="003609A6">
        <w:rPr>
          <w:rFonts w:ascii="Avenir Next Regular" w:hAnsi="Avenir Next Regular"/>
        </w:rPr>
        <w:t>Executive Order</w:t>
      </w:r>
      <w:r w:rsidR="00406D57">
        <w:rPr>
          <w:rFonts w:ascii="Avenir Next Regular" w:hAnsi="Avenir Next Regular"/>
        </w:rPr>
        <w:t xml:space="preserve"> 12898</w:t>
      </w:r>
      <w:r>
        <w:t xml:space="preserve"> </w:t>
      </w:r>
      <w:hyperlink r:id="rId9" w:history="1">
        <w:r w:rsidRPr="008627E1">
          <w:rPr>
            <w:rStyle w:val="Hyperlink"/>
          </w:rPr>
          <w:t>https://www.epa.gov/laws-regulations/summary-executive-order-12898-federal-actions-address-environmental-justice</w:t>
        </w:r>
      </w:hyperlink>
      <w:r>
        <w:t>. (page last visited August 28, 2017.)</w:t>
      </w:r>
    </w:p>
  </w:footnote>
  <w:footnote w:id="8">
    <w:p w:rsidR="00D07546" w:rsidRDefault="00D07546">
      <w:pPr>
        <w:pStyle w:val="FootnoteText"/>
      </w:pPr>
      <w:r>
        <w:rPr>
          <w:rStyle w:val="FootnoteReference"/>
        </w:rPr>
        <w:footnoteRef/>
      </w:r>
      <w:r w:rsidR="00406D57">
        <w:t xml:space="preserve"> </w:t>
      </w:r>
      <w:r w:rsidR="00406D57" w:rsidRPr="003609A6">
        <w:rPr>
          <w:rFonts w:ascii="Avenir Next Regular" w:hAnsi="Avenir Next Regular"/>
        </w:rPr>
        <w:t>Title VI of the Civil Rights Act</w:t>
      </w:r>
      <w:r w:rsidR="00406D57">
        <w:rPr>
          <w:rFonts w:ascii="Avenir Next Regular" w:hAnsi="Avenir Next Regular"/>
        </w:rPr>
        <w:t xml:space="preserve">, </w:t>
      </w:r>
      <w:hyperlink r:id="rId10" w:history="1">
        <w:r w:rsidR="00406D57" w:rsidRPr="004761F0">
          <w:rPr>
            <w:rStyle w:val="Hyperlink"/>
            <w:rFonts w:ascii="Avenir Next Regular" w:hAnsi="Avenir Next Regular"/>
          </w:rPr>
          <w:t>https://www.epa.gov/ocr/title-vi-and-environmental-justice-epa</w:t>
        </w:r>
      </w:hyperlink>
      <w:r w:rsidR="00406D57">
        <w:rPr>
          <w:rFonts w:ascii="Avenir Next Regular" w:hAnsi="Avenir Next Regular"/>
        </w:rPr>
        <w:t xml:space="preserve">, see also </w:t>
      </w:r>
      <w:r>
        <w:t xml:space="preserve"> Ti</w:t>
      </w:r>
      <w:r w:rsidR="00406D57">
        <w:t xml:space="preserve">tle VI and Adam Clayton Powell </w:t>
      </w:r>
      <w:hyperlink r:id="rId11" w:history="1">
        <w:r w:rsidRPr="008627E1">
          <w:rPr>
            <w:rStyle w:val="Hyperlink"/>
          </w:rPr>
          <w:t>https://www.youtube.com/watch?v=t5kCqRoshwc</w:t>
        </w:r>
      </w:hyperlink>
      <w:r>
        <w:t xml:space="preserve"> (page last visited August 28, 2017.)</w:t>
      </w:r>
    </w:p>
  </w:footnote>
  <w:footnote w:id="9">
    <w:p w:rsidR="00D07546" w:rsidRDefault="00D07546">
      <w:pPr>
        <w:pStyle w:val="FootnoteText"/>
      </w:pPr>
      <w:r>
        <w:rPr>
          <w:rStyle w:val="FootnoteReference"/>
        </w:rPr>
        <w:footnoteRef/>
      </w:r>
      <w:r>
        <w:t xml:space="preserve"> </w:t>
      </w:r>
      <w:r w:rsidR="00406D57">
        <w:rPr>
          <w:rFonts w:ascii="Avenir Next Regular" w:hAnsi="Avenir Next Regular"/>
        </w:rPr>
        <w:t xml:space="preserve">The </w:t>
      </w:r>
      <w:r w:rsidR="00406D57" w:rsidRPr="003609A6">
        <w:rPr>
          <w:rFonts w:ascii="Avenir Next Regular" w:hAnsi="Avenir Next Regular"/>
        </w:rPr>
        <w:t>Aarhuus Convention</w:t>
      </w:r>
      <w:r w:rsidR="00406D57">
        <w:t xml:space="preserve"> </w:t>
      </w:r>
      <w:hyperlink r:id="rId12" w:history="1">
        <w:r w:rsidRPr="008627E1">
          <w:rPr>
            <w:rStyle w:val="Hyperlink"/>
          </w:rPr>
          <w:t>http://ec.europa.eu/environment/aarhus/</w:t>
        </w:r>
      </w:hyperlink>
      <w:r>
        <w:t>. (page last visited August 28, 2017.)</w:t>
      </w:r>
    </w:p>
  </w:footnote>
  <w:footnote w:id="10">
    <w:p w:rsidR="00D07546" w:rsidRDefault="00D07546">
      <w:pPr>
        <w:pStyle w:val="FootnoteText"/>
      </w:pPr>
      <w:r>
        <w:rPr>
          <w:rStyle w:val="FootnoteReference"/>
        </w:rPr>
        <w:footnoteRef/>
      </w:r>
      <w:r>
        <w:t xml:space="preserve"> </w:t>
      </w:r>
      <w:hyperlink r:id="rId13" w:history="1">
        <w:r w:rsidRPr="008627E1">
          <w:rPr>
            <w:rStyle w:val="Hyperlink"/>
          </w:rPr>
          <w:t>http://tenpowerfulthingstosay.com/TellMeMore.pdf</w:t>
        </w:r>
      </w:hyperlink>
      <w:r>
        <w:t xml:space="preserve"> (page last visited August 28, 2017.)</w:t>
      </w:r>
    </w:p>
  </w:footnote>
  <w:footnote w:id="11">
    <w:p w:rsidR="00D07546" w:rsidRDefault="00D07546">
      <w:pPr>
        <w:pStyle w:val="FootnoteText"/>
      </w:pPr>
      <w:r>
        <w:rPr>
          <w:rStyle w:val="FootnoteReference"/>
        </w:rPr>
        <w:footnoteRef/>
      </w:r>
      <w:r>
        <w:t xml:space="preserve"> </w:t>
      </w:r>
      <w:hyperlink r:id="rId14" w:history="1">
        <w:r w:rsidRPr="008627E1">
          <w:rPr>
            <w:rStyle w:val="Hyperlink"/>
          </w:rPr>
          <w:t>http://www.scorecard.org</w:t>
        </w:r>
      </w:hyperlink>
      <w:r>
        <w:t xml:space="preserve"> (page last visited August 28, 2017.)</w:t>
      </w:r>
    </w:p>
  </w:footnote>
  <w:footnote w:id="12">
    <w:p w:rsidR="00D07546" w:rsidRDefault="00D07546">
      <w:pPr>
        <w:pStyle w:val="FootnoteText"/>
      </w:pPr>
      <w:r>
        <w:rPr>
          <w:rStyle w:val="FootnoteReference"/>
        </w:rPr>
        <w:footnoteRef/>
      </w:r>
      <w:hyperlink r:id="rId15" w:anchor="Best%20Practices%20Handbook" w:history="1">
        <w:r w:rsidRPr="002875E6">
          <w:rPr>
            <w:rStyle w:val="Hyperlink"/>
          </w:rPr>
          <w:t>http://www.oregon.gov/gov/policy/environment/environmental_justice/Documents/2016 Oregon EJTF Handbook Final.pdf - Best Practices Handbook</w:t>
        </w:r>
      </w:hyperlink>
      <w:r>
        <w:t xml:space="preserve"> (page last visited August 28, 2017.)</w:t>
      </w:r>
    </w:p>
  </w:footnote>
  <w:footnote w:id="13">
    <w:p w:rsidR="00D07546" w:rsidRDefault="00D07546">
      <w:pPr>
        <w:pStyle w:val="FootnoteText"/>
      </w:pPr>
      <w:r>
        <w:rPr>
          <w:rStyle w:val="FootnoteReference"/>
        </w:rPr>
        <w:footnoteRef/>
      </w:r>
      <w:r>
        <w:t xml:space="preserve"> </w:t>
      </w:r>
      <w:hyperlink r:id="rId16" w:history="1">
        <w:r w:rsidRPr="008627E1">
          <w:rPr>
            <w:rStyle w:val="Hyperlink"/>
          </w:rPr>
          <w:t>https://www.epa.gov/ejscreen</w:t>
        </w:r>
      </w:hyperlink>
      <w:r>
        <w:t xml:space="preserve"> (page last visited August 28, 2017.)</w:t>
      </w:r>
    </w:p>
  </w:footnote>
  <w:footnote w:id="14">
    <w:p w:rsidR="00D07546" w:rsidRDefault="00D07546">
      <w:pPr>
        <w:pStyle w:val="FootnoteText"/>
      </w:pPr>
      <w:r>
        <w:rPr>
          <w:rStyle w:val="FootnoteReference"/>
        </w:rPr>
        <w:footnoteRef/>
      </w:r>
      <w:r>
        <w:t xml:space="preserve"> Background Context to Cleaner Air Oregon rulemaking, See </w:t>
      </w:r>
      <w:r w:rsidRPr="007902E9">
        <w:t>http://koin.com/2016/04/21/deq-announces-temporary-glass-regulations/</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B98"/>
    <w:multiLevelType w:val="hybridMultilevel"/>
    <w:tmpl w:val="3F66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D3B4A"/>
    <w:multiLevelType w:val="multilevel"/>
    <w:tmpl w:val="9A4A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06079"/>
    <w:multiLevelType w:val="hybridMultilevel"/>
    <w:tmpl w:val="613A8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C97A65"/>
    <w:multiLevelType w:val="multilevel"/>
    <w:tmpl w:val="84A6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A5729"/>
    <w:multiLevelType w:val="hybridMultilevel"/>
    <w:tmpl w:val="0B04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A4D14"/>
    <w:multiLevelType w:val="hybridMultilevel"/>
    <w:tmpl w:val="4BCC54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8FB2FB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6DEE001A"/>
    <w:multiLevelType w:val="hybridMultilevel"/>
    <w:tmpl w:val="3DD46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7971AE"/>
    <w:multiLevelType w:val="hybridMultilevel"/>
    <w:tmpl w:val="7E60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3"/>
  </w:num>
  <w:num w:numId="6">
    <w:abstractNumId w:val="5"/>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useFELayout/>
  </w:compat>
  <w:rsids>
    <w:rsidRoot w:val="00FE2DCE"/>
    <w:rsid w:val="00012A53"/>
    <w:rsid w:val="0001371E"/>
    <w:rsid w:val="000220AD"/>
    <w:rsid w:val="00087990"/>
    <w:rsid w:val="00094997"/>
    <w:rsid w:val="000A1E7B"/>
    <w:rsid w:val="000F2C3E"/>
    <w:rsid w:val="0013286B"/>
    <w:rsid w:val="001603D0"/>
    <w:rsid w:val="00160AB3"/>
    <w:rsid w:val="00182189"/>
    <w:rsid w:val="00202682"/>
    <w:rsid w:val="002875E6"/>
    <w:rsid w:val="002F540A"/>
    <w:rsid w:val="0031329B"/>
    <w:rsid w:val="003609A6"/>
    <w:rsid w:val="0038675E"/>
    <w:rsid w:val="003E311F"/>
    <w:rsid w:val="00406D57"/>
    <w:rsid w:val="004072DA"/>
    <w:rsid w:val="00414650"/>
    <w:rsid w:val="00426B8B"/>
    <w:rsid w:val="00457E7B"/>
    <w:rsid w:val="004A77C6"/>
    <w:rsid w:val="004E5FE9"/>
    <w:rsid w:val="00554510"/>
    <w:rsid w:val="005669BE"/>
    <w:rsid w:val="005C4BD6"/>
    <w:rsid w:val="006328D4"/>
    <w:rsid w:val="00644FAC"/>
    <w:rsid w:val="006B4230"/>
    <w:rsid w:val="006C2CC4"/>
    <w:rsid w:val="006E46CF"/>
    <w:rsid w:val="006E60B3"/>
    <w:rsid w:val="0070625F"/>
    <w:rsid w:val="00733076"/>
    <w:rsid w:val="00734A6F"/>
    <w:rsid w:val="00785012"/>
    <w:rsid w:val="007902E9"/>
    <w:rsid w:val="007B2BD0"/>
    <w:rsid w:val="007E79B5"/>
    <w:rsid w:val="00872CFF"/>
    <w:rsid w:val="0089518C"/>
    <w:rsid w:val="008C5598"/>
    <w:rsid w:val="00915761"/>
    <w:rsid w:val="009157D0"/>
    <w:rsid w:val="0097796B"/>
    <w:rsid w:val="009A4AC2"/>
    <w:rsid w:val="009C0C69"/>
    <w:rsid w:val="009D5A8B"/>
    <w:rsid w:val="00A05551"/>
    <w:rsid w:val="00AE3AFA"/>
    <w:rsid w:val="00B04261"/>
    <w:rsid w:val="00B20374"/>
    <w:rsid w:val="00BA6B3C"/>
    <w:rsid w:val="00C37895"/>
    <w:rsid w:val="00C506F4"/>
    <w:rsid w:val="00C700D9"/>
    <w:rsid w:val="00C86F34"/>
    <w:rsid w:val="00CE4319"/>
    <w:rsid w:val="00CF784A"/>
    <w:rsid w:val="00D07546"/>
    <w:rsid w:val="00D27F42"/>
    <w:rsid w:val="00E5316A"/>
    <w:rsid w:val="00EC406D"/>
    <w:rsid w:val="00F05810"/>
    <w:rsid w:val="00F6346D"/>
    <w:rsid w:val="00FE2D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venir Light" w:eastAsiaTheme="minorEastAsia" w:hAnsi="Avenir Light" w:cs="Verdana"/>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6F"/>
  </w:style>
  <w:style w:type="paragraph" w:styleId="Heading1">
    <w:name w:val="heading 1"/>
    <w:basedOn w:val="Normal"/>
    <w:next w:val="Normal"/>
    <w:link w:val="Heading1Char"/>
    <w:uiPriority w:val="9"/>
    <w:qFormat/>
    <w:rsid w:val="00FE2DCE"/>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2DC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DCE"/>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2DCE"/>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2DCE"/>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2DCE"/>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2DC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2DC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2DC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DCE"/>
    <w:pPr>
      <w:ind w:left="720"/>
      <w:contextualSpacing/>
    </w:pPr>
  </w:style>
  <w:style w:type="character" w:customStyle="1" w:styleId="Heading1Char">
    <w:name w:val="Heading 1 Char"/>
    <w:basedOn w:val="DefaultParagraphFont"/>
    <w:link w:val="Heading1"/>
    <w:uiPriority w:val="9"/>
    <w:rsid w:val="00FE2DC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E2D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2D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E2D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E2D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2D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2D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2D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2DCE"/>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0F2C3E"/>
    <w:rPr>
      <w:sz w:val="24"/>
      <w:szCs w:val="24"/>
    </w:rPr>
  </w:style>
  <w:style w:type="character" w:customStyle="1" w:styleId="FootnoteTextChar">
    <w:name w:val="Footnote Text Char"/>
    <w:basedOn w:val="DefaultParagraphFont"/>
    <w:link w:val="FootnoteText"/>
    <w:uiPriority w:val="99"/>
    <w:rsid w:val="000F2C3E"/>
    <w:rPr>
      <w:sz w:val="24"/>
      <w:szCs w:val="24"/>
    </w:rPr>
  </w:style>
  <w:style w:type="character" w:styleId="FootnoteReference">
    <w:name w:val="footnote reference"/>
    <w:basedOn w:val="DefaultParagraphFont"/>
    <w:uiPriority w:val="99"/>
    <w:unhideWhenUsed/>
    <w:rsid w:val="000F2C3E"/>
    <w:rPr>
      <w:vertAlign w:val="superscript"/>
    </w:rPr>
  </w:style>
  <w:style w:type="character" w:styleId="Hyperlink">
    <w:name w:val="Hyperlink"/>
    <w:basedOn w:val="DefaultParagraphFont"/>
    <w:uiPriority w:val="99"/>
    <w:unhideWhenUsed/>
    <w:rsid w:val="000F2C3E"/>
    <w:rPr>
      <w:color w:val="0000FF" w:themeColor="hyperlink"/>
      <w:u w:val="single"/>
    </w:rPr>
  </w:style>
  <w:style w:type="paragraph" w:styleId="BalloonText">
    <w:name w:val="Balloon Text"/>
    <w:basedOn w:val="Normal"/>
    <w:link w:val="BalloonTextChar"/>
    <w:uiPriority w:val="99"/>
    <w:semiHidden/>
    <w:unhideWhenUsed/>
    <w:rsid w:val="00872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CFF"/>
    <w:rPr>
      <w:rFonts w:ascii="Lucida Grande" w:hAnsi="Lucida Grande" w:cs="Lucida Grande"/>
      <w:sz w:val="18"/>
      <w:szCs w:val="18"/>
    </w:rPr>
  </w:style>
  <w:style w:type="paragraph" w:styleId="Caption">
    <w:name w:val="caption"/>
    <w:basedOn w:val="Normal"/>
    <w:next w:val="Normal"/>
    <w:uiPriority w:val="35"/>
    <w:unhideWhenUsed/>
    <w:qFormat/>
    <w:rsid w:val="00915761"/>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915761"/>
    <w:rPr>
      <w:color w:val="800080" w:themeColor="followedHyperlink"/>
      <w:u w:val="single"/>
    </w:rPr>
  </w:style>
  <w:style w:type="paragraph" w:styleId="Footer">
    <w:name w:val="footer"/>
    <w:basedOn w:val="Normal"/>
    <w:link w:val="FooterChar"/>
    <w:uiPriority w:val="99"/>
    <w:unhideWhenUsed/>
    <w:rsid w:val="0031329B"/>
    <w:pPr>
      <w:tabs>
        <w:tab w:val="center" w:pos="4320"/>
        <w:tab w:val="right" w:pos="8640"/>
      </w:tabs>
    </w:pPr>
  </w:style>
  <w:style w:type="character" w:customStyle="1" w:styleId="FooterChar">
    <w:name w:val="Footer Char"/>
    <w:basedOn w:val="DefaultParagraphFont"/>
    <w:link w:val="Footer"/>
    <w:uiPriority w:val="99"/>
    <w:rsid w:val="0031329B"/>
  </w:style>
  <w:style w:type="character" w:styleId="PageNumber">
    <w:name w:val="page number"/>
    <w:basedOn w:val="DefaultParagraphFont"/>
    <w:uiPriority w:val="99"/>
    <w:semiHidden/>
    <w:unhideWhenUsed/>
    <w:rsid w:val="0031329B"/>
  </w:style>
  <w:style w:type="character" w:styleId="Strong">
    <w:name w:val="Strong"/>
    <w:basedOn w:val="DefaultParagraphFont"/>
    <w:uiPriority w:val="22"/>
    <w:qFormat/>
    <w:rsid w:val="007902E9"/>
    <w:rPr>
      <w:b/>
      <w:bCs/>
    </w:rPr>
  </w:style>
  <w:style w:type="paragraph" w:styleId="NormalWeb">
    <w:name w:val="Normal (Web)"/>
    <w:basedOn w:val="Normal"/>
    <w:uiPriority w:val="99"/>
    <w:semiHidden/>
    <w:unhideWhenUsed/>
    <w:rsid w:val="007902E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902E9"/>
  </w:style>
</w:styles>
</file>

<file path=word/webSettings.xml><?xml version="1.0" encoding="utf-8"?>
<w:webSettings xmlns:r="http://schemas.openxmlformats.org/officeDocument/2006/relationships" xmlns:w="http://schemas.openxmlformats.org/wordprocessingml/2006/main">
  <w:divs>
    <w:div w:id="570698320">
      <w:bodyDiv w:val="1"/>
      <w:marLeft w:val="0"/>
      <w:marRight w:val="0"/>
      <w:marTop w:val="0"/>
      <w:marBottom w:val="0"/>
      <w:divBdr>
        <w:top w:val="none" w:sz="0" w:space="0" w:color="auto"/>
        <w:left w:val="none" w:sz="0" w:space="0" w:color="auto"/>
        <w:bottom w:val="none" w:sz="0" w:space="0" w:color="auto"/>
        <w:right w:val="none" w:sz="0" w:space="0" w:color="auto"/>
      </w:divBdr>
    </w:div>
    <w:div w:id="1062144248">
      <w:bodyDiv w:val="1"/>
      <w:marLeft w:val="0"/>
      <w:marRight w:val="0"/>
      <w:marTop w:val="0"/>
      <w:marBottom w:val="0"/>
      <w:divBdr>
        <w:top w:val="none" w:sz="0" w:space="0" w:color="auto"/>
        <w:left w:val="none" w:sz="0" w:space="0" w:color="auto"/>
        <w:bottom w:val="none" w:sz="0" w:space="0" w:color="auto"/>
        <w:right w:val="none" w:sz="0" w:space="0" w:color="auto"/>
      </w:divBdr>
    </w:div>
    <w:div w:id="1116872723">
      <w:bodyDiv w:val="1"/>
      <w:marLeft w:val="0"/>
      <w:marRight w:val="0"/>
      <w:marTop w:val="0"/>
      <w:marBottom w:val="0"/>
      <w:divBdr>
        <w:top w:val="none" w:sz="0" w:space="0" w:color="auto"/>
        <w:left w:val="none" w:sz="0" w:space="0" w:color="auto"/>
        <w:bottom w:val="none" w:sz="0" w:space="0" w:color="auto"/>
        <w:right w:val="none" w:sz="0" w:space="0" w:color="auto"/>
      </w:divBdr>
      <w:divsChild>
        <w:div w:id="2055496545">
          <w:marLeft w:val="0"/>
          <w:marRight w:val="0"/>
          <w:marTop w:val="48"/>
          <w:marBottom w:val="0"/>
          <w:divBdr>
            <w:top w:val="none" w:sz="0" w:space="0" w:color="auto"/>
            <w:left w:val="none" w:sz="0" w:space="0" w:color="auto"/>
            <w:bottom w:val="none" w:sz="0" w:space="0" w:color="auto"/>
            <w:right w:val="none" w:sz="0" w:space="0" w:color="auto"/>
          </w:divBdr>
        </w:div>
        <w:div w:id="920336670">
          <w:marLeft w:val="0"/>
          <w:marRight w:val="0"/>
          <w:marTop w:val="0"/>
          <w:marBottom w:val="0"/>
          <w:divBdr>
            <w:top w:val="none" w:sz="0" w:space="0" w:color="auto"/>
            <w:left w:val="none" w:sz="0" w:space="0" w:color="auto"/>
            <w:bottom w:val="none" w:sz="0" w:space="0" w:color="auto"/>
            <w:right w:val="none" w:sz="0" w:space="0" w:color="auto"/>
          </w:divBdr>
          <w:divsChild>
            <w:div w:id="1417283286">
              <w:marLeft w:val="0"/>
              <w:marRight w:val="0"/>
              <w:marTop w:val="0"/>
              <w:marBottom w:val="0"/>
              <w:divBdr>
                <w:top w:val="none" w:sz="0" w:space="0" w:color="auto"/>
                <w:left w:val="none" w:sz="0" w:space="0" w:color="auto"/>
                <w:bottom w:val="none" w:sz="0" w:space="0" w:color="auto"/>
                <w:right w:val="none" w:sz="0" w:space="0" w:color="auto"/>
              </w:divBdr>
              <w:divsChild>
                <w:div w:id="15896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8269">
      <w:bodyDiv w:val="1"/>
      <w:marLeft w:val="0"/>
      <w:marRight w:val="0"/>
      <w:marTop w:val="0"/>
      <w:marBottom w:val="0"/>
      <w:divBdr>
        <w:top w:val="none" w:sz="0" w:space="0" w:color="auto"/>
        <w:left w:val="none" w:sz="0" w:space="0" w:color="auto"/>
        <w:bottom w:val="none" w:sz="0" w:space="0" w:color="auto"/>
        <w:right w:val="none" w:sz="0" w:space="0" w:color="auto"/>
      </w:divBdr>
    </w:div>
    <w:div w:id="1682514938">
      <w:bodyDiv w:val="1"/>
      <w:marLeft w:val="0"/>
      <w:marRight w:val="0"/>
      <w:marTop w:val="0"/>
      <w:marBottom w:val="0"/>
      <w:divBdr>
        <w:top w:val="none" w:sz="0" w:space="0" w:color="auto"/>
        <w:left w:val="none" w:sz="0" w:space="0" w:color="auto"/>
        <w:bottom w:val="none" w:sz="0" w:space="0" w:color="auto"/>
        <w:right w:val="none" w:sz="0" w:space="0" w:color="auto"/>
      </w:divBdr>
      <w:divsChild>
        <w:div w:id="1129124916">
          <w:marLeft w:val="0"/>
          <w:marRight w:val="0"/>
          <w:marTop w:val="0"/>
          <w:marBottom w:val="0"/>
          <w:divBdr>
            <w:top w:val="none" w:sz="0" w:space="0" w:color="auto"/>
            <w:left w:val="none" w:sz="0" w:space="0" w:color="auto"/>
            <w:bottom w:val="none" w:sz="0" w:space="0" w:color="auto"/>
            <w:right w:val="none" w:sz="0" w:space="0" w:color="auto"/>
          </w:divBdr>
          <w:divsChild>
            <w:div w:id="7870234">
              <w:marLeft w:val="0"/>
              <w:marRight w:val="0"/>
              <w:marTop w:val="0"/>
              <w:marBottom w:val="0"/>
              <w:divBdr>
                <w:top w:val="none" w:sz="0" w:space="0" w:color="auto"/>
                <w:left w:val="none" w:sz="0" w:space="0" w:color="auto"/>
                <w:bottom w:val="none" w:sz="0" w:space="0" w:color="auto"/>
                <w:right w:val="none" w:sz="0" w:space="0" w:color="auto"/>
              </w:divBdr>
            </w:div>
            <w:div w:id="1411275881">
              <w:marLeft w:val="0"/>
              <w:marRight w:val="0"/>
              <w:marTop w:val="0"/>
              <w:marBottom w:val="0"/>
              <w:divBdr>
                <w:top w:val="none" w:sz="0" w:space="0" w:color="auto"/>
                <w:left w:val="none" w:sz="0" w:space="0" w:color="auto"/>
                <w:bottom w:val="none" w:sz="0" w:space="0" w:color="auto"/>
                <w:right w:val="none" w:sz="0" w:space="0" w:color="auto"/>
              </w:divBdr>
            </w:div>
          </w:divsChild>
        </w:div>
        <w:div w:id="2096705298">
          <w:marLeft w:val="0"/>
          <w:marRight w:val="0"/>
          <w:marTop w:val="0"/>
          <w:marBottom w:val="0"/>
          <w:divBdr>
            <w:top w:val="none" w:sz="0" w:space="0" w:color="auto"/>
            <w:left w:val="none" w:sz="0" w:space="0" w:color="auto"/>
            <w:bottom w:val="none" w:sz="0" w:space="0" w:color="auto"/>
            <w:right w:val="none" w:sz="0" w:space="0" w:color="auto"/>
          </w:divBdr>
          <w:divsChild>
            <w:div w:id="261955309">
              <w:marLeft w:val="0"/>
              <w:marRight w:val="0"/>
              <w:marTop w:val="0"/>
              <w:marBottom w:val="0"/>
              <w:divBdr>
                <w:top w:val="none" w:sz="0" w:space="0" w:color="auto"/>
                <w:left w:val="none" w:sz="0" w:space="0" w:color="auto"/>
                <w:bottom w:val="none" w:sz="0" w:space="0" w:color="auto"/>
                <w:right w:val="none" w:sz="0" w:space="0" w:color="auto"/>
              </w:divBdr>
            </w:div>
          </w:divsChild>
        </w:div>
        <w:div w:id="774253293">
          <w:marLeft w:val="0"/>
          <w:marRight w:val="0"/>
          <w:marTop w:val="0"/>
          <w:marBottom w:val="0"/>
          <w:divBdr>
            <w:top w:val="none" w:sz="0" w:space="0" w:color="auto"/>
            <w:left w:val="none" w:sz="0" w:space="0" w:color="auto"/>
            <w:bottom w:val="none" w:sz="0" w:space="0" w:color="auto"/>
            <w:right w:val="none" w:sz="0" w:space="0" w:color="auto"/>
          </w:divBdr>
          <w:divsChild>
            <w:div w:id="1296328766">
              <w:marLeft w:val="0"/>
              <w:marRight w:val="0"/>
              <w:marTop w:val="0"/>
              <w:marBottom w:val="0"/>
              <w:divBdr>
                <w:top w:val="none" w:sz="0" w:space="0" w:color="auto"/>
                <w:left w:val="none" w:sz="0" w:space="0" w:color="auto"/>
                <w:bottom w:val="none" w:sz="0" w:space="0" w:color="auto"/>
                <w:right w:val="none" w:sz="0" w:space="0" w:color="auto"/>
              </w:divBdr>
            </w:div>
          </w:divsChild>
        </w:div>
        <w:div w:id="769854056">
          <w:marLeft w:val="0"/>
          <w:marRight w:val="0"/>
          <w:marTop w:val="0"/>
          <w:marBottom w:val="0"/>
          <w:divBdr>
            <w:top w:val="none" w:sz="0" w:space="0" w:color="auto"/>
            <w:left w:val="none" w:sz="0" w:space="0" w:color="auto"/>
            <w:bottom w:val="none" w:sz="0" w:space="0" w:color="auto"/>
            <w:right w:val="none" w:sz="0" w:space="0" w:color="auto"/>
          </w:divBdr>
          <w:divsChild>
            <w:div w:id="1204294458">
              <w:marLeft w:val="0"/>
              <w:marRight w:val="0"/>
              <w:marTop w:val="0"/>
              <w:marBottom w:val="0"/>
              <w:divBdr>
                <w:top w:val="none" w:sz="0" w:space="0" w:color="auto"/>
                <w:left w:val="none" w:sz="0" w:space="0" w:color="auto"/>
                <w:bottom w:val="none" w:sz="0" w:space="0" w:color="auto"/>
                <w:right w:val="none" w:sz="0" w:space="0" w:color="auto"/>
              </w:divBdr>
            </w:div>
          </w:divsChild>
        </w:div>
        <w:div w:id="1230505374">
          <w:marLeft w:val="0"/>
          <w:marRight w:val="0"/>
          <w:marTop w:val="0"/>
          <w:marBottom w:val="0"/>
          <w:divBdr>
            <w:top w:val="none" w:sz="0" w:space="0" w:color="auto"/>
            <w:left w:val="none" w:sz="0" w:space="0" w:color="auto"/>
            <w:bottom w:val="none" w:sz="0" w:space="0" w:color="auto"/>
            <w:right w:val="none" w:sz="0" w:space="0" w:color="auto"/>
          </w:divBdr>
          <w:divsChild>
            <w:div w:id="998193088">
              <w:marLeft w:val="0"/>
              <w:marRight w:val="0"/>
              <w:marTop w:val="0"/>
              <w:marBottom w:val="0"/>
              <w:divBdr>
                <w:top w:val="none" w:sz="0" w:space="0" w:color="auto"/>
                <w:left w:val="none" w:sz="0" w:space="0" w:color="auto"/>
                <w:bottom w:val="none" w:sz="0" w:space="0" w:color="auto"/>
                <w:right w:val="none" w:sz="0" w:space="0" w:color="auto"/>
              </w:divBdr>
            </w:div>
          </w:divsChild>
        </w:div>
        <w:div w:id="1543595970">
          <w:marLeft w:val="0"/>
          <w:marRight w:val="0"/>
          <w:marTop w:val="0"/>
          <w:marBottom w:val="0"/>
          <w:divBdr>
            <w:top w:val="none" w:sz="0" w:space="0" w:color="auto"/>
            <w:left w:val="none" w:sz="0" w:space="0" w:color="auto"/>
            <w:bottom w:val="none" w:sz="0" w:space="0" w:color="auto"/>
            <w:right w:val="none" w:sz="0" w:space="0" w:color="auto"/>
          </w:divBdr>
          <w:divsChild>
            <w:div w:id="284967239">
              <w:marLeft w:val="0"/>
              <w:marRight w:val="0"/>
              <w:marTop w:val="0"/>
              <w:marBottom w:val="0"/>
              <w:divBdr>
                <w:top w:val="none" w:sz="0" w:space="0" w:color="auto"/>
                <w:left w:val="none" w:sz="0" w:space="0" w:color="auto"/>
                <w:bottom w:val="none" w:sz="0" w:space="0" w:color="auto"/>
                <w:right w:val="none" w:sz="0" w:space="0" w:color="auto"/>
              </w:divBdr>
            </w:div>
          </w:divsChild>
        </w:div>
        <w:div w:id="1776900798">
          <w:marLeft w:val="0"/>
          <w:marRight w:val="0"/>
          <w:marTop w:val="0"/>
          <w:marBottom w:val="0"/>
          <w:divBdr>
            <w:top w:val="none" w:sz="0" w:space="0" w:color="auto"/>
            <w:left w:val="none" w:sz="0" w:space="0" w:color="auto"/>
            <w:bottom w:val="none" w:sz="0" w:space="0" w:color="auto"/>
            <w:right w:val="none" w:sz="0" w:space="0" w:color="auto"/>
          </w:divBdr>
          <w:divsChild>
            <w:div w:id="393548907">
              <w:marLeft w:val="0"/>
              <w:marRight w:val="0"/>
              <w:marTop w:val="0"/>
              <w:marBottom w:val="0"/>
              <w:divBdr>
                <w:top w:val="none" w:sz="0" w:space="0" w:color="auto"/>
                <w:left w:val="none" w:sz="0" w:space="0" w:color="auto"/>
                <w:bottom w:val="none" w:sz="0" w:space="0" w:color="auto"/>
                <w:right w:val="none" w:sz="0" w:space="0" w:color="auto"/>
              </w:divBdr>
            </w:div>
          </w:divsChild>
        </w:div>
        <w:div w:id="744451218">
          <w:marLeft w:val="0"/>
          <w:marRight w:val="0"/>
          <w:marTop w:val="0"/>
          <w:marBottom w:val="0"/>
          <w:divBdr>
            <w:top w:val="none" w:sz="0" w:space="0" w:color="auto"/>
            <w:left w:val="none" w:sz="0" w:space="0" w:color="auto"/>
            <w:bottom w:val="none" w:sz="0" w:space="0" w:color="auto"/>
            <w:right w:val="none" w:sz="0" w:space="0" w:color="auto"/>
          </w:divBdr>
          <w:divsChild>
            <w:div w:id="1284732464">
              <w:marLeft w:val="0"/>
              <w:marRight w:val="0"/>
              <w:marTop w:val="0"/>
              <w:marBottom w:val="0"/>
              <w:divBdr>
                <w:top w:val="none" w:sz="0" w:space="0" w:color="auto"/>
                <w:left w:val="none" w:sz="0" w:space="0" w:color="auto"/>
                <w:bottom w:val="none" w:sz="0" w:space="0" w:color="auto"/>
                <w:right w:val="none" w:sz="0" w:space="0" w:color="auto"/>
              </w:divBdr>
            </w:div>
          </w:divsChild>
        </w:div>
        <w:div w:id="1202129539">
          <w:marLeft w:val="0"/>
          <w:marRight w:val="0"/>
          <w:marTop w:val="0"/>
          <w:marBottom w:val="0"/>
          <w:divBdr>
            <w:top w:val="none" w:sz="0" w:space="0" w:color="auto"/>
            <w:left w:val="none" w:sz="0" w:space="0" w:color="auto"/>
            <w:bottom w:val="none" w:sz="0" w:space="0" w:color="auto"/>
            <w:right w:val="none" w:sz="0" w:space="0" w:color="auto"/>
          </w:divBdr>
          <w:divsChild>
            <w:div w:id="1139349140">
              <w:marLeft w:val="0"/>
              <w:marRight w:val="0"/>
              <w:marTop w:val="0"/>
              <w:marBottom w:val="0"/>
              <w:divBdr>
                <w:top w:val="none" w:sz="0" w:space="0" w:color="auto"/>
                <w:left w:val="none" w:sz="0" w:space="0" w:color="auto"/>
                <w:bottom w:val="none" w:sz="0" w:space="0" w:color="auto"/>
                <w:right w:val="none" w:sz="0" w:space="0" w:color="auto"/>
              </w:divBdr>
            </w:div>
          </w:divsChild>
        </w:div>
        <w:div w:id="2028166175">
          <w:marLeft w:val="0"/>
          <w:marRight w:val="0"/>
          <w:marTop w:val="0"/>
          <w:marBottom w:val="0"/>
          <w:divBdr>
            <w:top w:val="none" w:sz="0" w:space="0" w:color="auto"/>
            <w:left w:val="none" w:sz="0" w:space="0" w:color="auto"/>
            <w:bottom w:val="none" w:sz="0" w:space="0" w:color="auto"/>
            <w:right w:val="none" w:sz="0" w:space="0" w:color="auto"/>
          </w:divBdr>
          <w:divsChild>
            <w:div w:id="1288197649">
              <w:marLeft w:val="0"/>
              <w:marRight w:val="0"/>
              <w:marTop w:val="0"/>
              <w:marBottom w:val="0"/>
              <w:divBdr>
                <w:top w:val="none" w:sz="0" w:space="0" w:color="auto"/>
                <w:left w:val="none" w:sz="0" w:space="0" w:color="auto"/>
                <w:bottom w:val="none" w:sz="0" w:space="0" w:color="auto"/>
                <w:right w:val="none" w:sz="0" w:space="0" w:color="auto"/>
              </w:divBdr>
            </w:div>
          </w:divsChild>
        </w:div>
        <w:div w:id="1333677787">
          <w:marLeft w:val="0"/>
          <w:marRight w:val="0"/>
          <w:marTop w:val="0"/>
          <w:marBottom w:val="0"/>
          <w:divBdr>
            <w:top w:val="none" w:sz="0" w:space="0" w:color="auto"/>
            <w:left w:val="none" w:sz="0" w:space="0" w:color="auto"/>
            <w:bottom w:val="none" w:sz="0" w:space="0" w:color="auto"/>
            <w:right w:val="none" w:sz="0" w:space="0" w:color="auto"/>
          </w:divBdr>
          <w:divsChild>
            <w:div w:id="844133283">
              <w:marLeft w:val="0"/>
              <w:marRight w:val="0"/>
              <w:marTop w:val="0"/>
              <w:marBottom w:val="0"/>
              <w:divBdr>
                <w:top w:val="none" w:sz="0" w:space="0" w:color="auto"/>
                <w:left w:val="none" w:sz="0" w:space="0" w:color="auto"/>
                <w:bottom w:val="none" w:sz="0" w:space="0" w:color="auto"/>
                <w:right w:val="none" w:sz="0" w:space="0" w:color="auto"/>
              </w:divBdr>
            </w:div>
          </w:divsChild>
        </w:div>
        <w:div w:id="1509562112">
          <w:marLeft w:val="0"/>
          <w:marRight w:val="0"/>
          <w:marTop w:val="0"/>
          <w:marBottom w:val="0"/>
          <w:divBdr>
            <w:top w:val="none" w:sz="0" w:space="0" w:color="auto"/>
            <w:left w:val="none" w:sz="0" w:space="0" w:color="auto"/>
            <w:bottom w:val="none" w:sz="0" w:space="0" w:color="auto"/>
            <w:right w:val="none" w:sz="0" w:space="0" w:color="auto"/>
          </w:divBdr>
        </w:div>
        <w:div w:id="1427533347">
          <w:marLeft w:val="0"/>
          <w:marRight w:val="0"/>
          <w:marTop w:val="0"/>
          <w:marBottom w:val="0"/>
          <w:divBdr>
            <w:top w:val="none" w:sz="0" w:space="0" w:color="auto"/>
            <w:left w:val="none" w:sz="0" w:space="0" w:color="auto"/>
            <w:bottom w:val="none" w:sz="0" w:space="0" w:color="auto"/>
            <w:right w:val="none" w:sz="0" w:space="0" w:color="auto"/>
          </w:divBdr>
          <w:divsChild>
            <w:div w:id="2088989239">
              <w:marLeft w:val="0"/>
              <w:marRight w:val="0"/>
              <w:marTop w:val="0"/>
              <w:marBottom w:val="0"/>
              <w:divBdr>
                <w:top w:val="none" w:sz="0" w:space="0" w:color="auto"/>
                <w:left w:val="none" w:sz="0" w:space="0" w:color="auto"/>
                <w:bottom w:val="none" w:sz="0" w:space="0" w:color="auto"/>
                <w:right w:val="none" w:sz="0" w:space="0" w:color="auto"/>
              </w:divBdr>
            </w:div>
            <w:div w:id="1331249848">
              <w:marLeft w:val="0"/>
              <w:marRight w:val="0"/>
              <w:marTop w:val="0"/>
              <w:marBottom w:val="0"/>
              <w:divBdr>
                <w:top w:val="none" w:sz="0" w:space="0" w:color="auto"/>
                <w:left w:val="none" w:sz="0" w:space="0" w:color="auto"/>
                <w:bottom w:val="none" w:sz="0" w:space="0" w:color="auto"/>
                <w:right w:val="none" w:sz="0" w:space="0" w:color="auto"/>
              </w:divBdr>
            </w:div>
            <w:div w:id="7884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4572">
      <w:bodyDiv w:val="1"/>
      <w:marLeft w:val="0"/>
      <w:marRight w:val="0"/>
      <w:marTop w:val="0"/>
      <w:marBottom w:val="0"/>
      <w:divBdr>
        <w:top w:val="none" w:sz="0" w:space="0" w:color="auto"/>
        <w:left w:val="none" w:sz="0" w:space="0" w:color="auto"/>
        <w:bottom w:val="none" w:sz="0" w:space="0" w:color="auto"/>
        <w:right w:val="none" w:sz="0" w:space="0" w:color="auto"/>
      </w:divBdr>
      <w:divsChild>
        <w:div w:id="1419248086">
          <w:marLeft w:val="0"/>
          <w:marRight w:val="0"/>
          <w:marTop w:val="48"/>
          <w:marBottom w:val="0"/>
          <w:divBdr>
            <w:top w:val="none" w:sz="0" w:space="0" w:color="auto"/>
            <w:left w:val="none" w:sz="0" w:space="0" w:color="auto"/>
            <w:bottom w:val="none" w:sz="0" w:space="0" w:color="auto"/>
            <w:right w:val="none" w:sz="0" w:space="0" w:color="auto"/>
          </w:divBdr>
        </w:div>
        <w:div w:id="456877079">
          <w:marLeft w:val="0"/>
          <w:marRight w:val="0"/>
          <w:marTop w:val="0"/>
          <w:marBottom w:val="0"/>
          <w:divBdr>
            <w:top w:val="none" w:sz="0" w:space="0" w:color="auto"/>
            <w:left w:val="none" w:sz="0" w:space="0" w:color="auto"/>
            <w:bottom w:val="none" w:sz="0" w:space="0" w:color="auto"/>
            <w:right w:val="none" w:sz="0" w:space="0" w:color="auto"/>
          </w:divBdr>
          <w:divsChild>
            <w:div w:id="1985239120">
              <w:marLeft w:val="0"/>
              <w:marRight w:val="0"/>
              <w:marTop w:val="0"/>
              <w:marBottom w:val="0"/>
              <w:divBdr>
                <w:top w:val="none" w:sz="0" w:space="0" w:color="auto"/>
                <w:left w:val="none" w:sz="0" w:space="0" w:color="auto"/>
                <w:bottom w:val="none" w:sz="0" w:space="0" w:color="auto"/>
                <w:right w:val="none" w:sz="0" w:space="0" w:color="auto"/>
              </w:divBdr>
              <w:divsChild>
                <w:div w:id="900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lawreview.org/articles/volume-38/issue-38-2/environmental-justice-in-oregon-its-the-law/" TargetMode="External"/><Relationship Id="rId13" Type="http://schemas.openxmlformats.org/officeDocument/2006/relationships/hyperlink" Target="http://cleanerair.oregon.gov/regulatory-reform/technical-workgrou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eanerair.oregon.gov/regulatory-reform/" TargetMode="External"/><Relationship Id="rId17" Type="http://schemas.openxmlformats.org/officeDocument/2006/relationships/hyperlink" Target="http://cleanerair.oregon.gov/data-and-current-actions/" TargetMode="External"/><Relationship Id="rId2" Type="http://schemas.openxmlformats.org/officeDocument/2006/relationships/numbering" Target="numbering.xml"/><Relationship Id="rId16" Type="http://schemas.openxmlformats.org/officeDocument/2006/relationships/hyperlink" Target="http://cleanerair.oregon.gov/data-and-current-a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cleanerair.oregon.gov/regulatory-reform/" TargetMode="External"/><Relationship Id="rId10" Type="http://schemas.openxmlformats.org/officeDocument/2006/relationships/hyperlink" Target="https://www.oregonlaws.org/ors/182.53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oregonlaws.org/ors/182.535" TargetMode="External"/><Relationship Id="rId14" Type="http://schemas.openxmlformats.org/officeDocument/2006/relationships/hyperlink" Target="http://cleanerair.oregon.gov/participat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lawreview.org/articles/volume-38/issue-38-2/environmental-justice-in-oregon-its-the-law/" TargetMode="External"/><Relationship Id="rId13" Type="http://schemas.openxmlformats.org/officeDocument/2006/relationships/hyperlink" Target="http://tenpowerfulthingstosay.com/TellMeMore.pdf" TargetMode="External"/><Relationship Id="rId3" Type="http://schemas.openxmlformats.org/officeDocument/2006/relationships/hyperlink" Target="https://papers.ssrn.com/sol3/results.cfm" TargetMode="External"/><Relationship Id="rId7" Type="http://schemas.openxmlformats.org/officeDocument/2006/relationships/hyperlink" Target="http://www.theskanner.com/npmtc-news/24018-24th-annual-martin-luther-king-jr-breakfast" TargetMode="External"/><Relationship Id="rId12" Type="http://schemas.openxmlformats.org/officeDocument/2006/relationships/hyperlink" Target="http://ec.europa.eu/environment/aarhus/" TargetMode="External"/><Relationship Id="rId2" Type="http://schemas.openxmlformats.org/officeDocument/2006/relationships/hyperlink" Target="https://www.amazon.com/Robert-D.-Bullard/e/B001ITYMI8/ref=dp_byline_cont_book_1" TargetMode="External"/><Relationship Id="rId16" Type="http://schemas.openxmlformats.org/officeDocument/2006/relationships/hyperlink" Target="https://www.epa.gov/ejscreen" TargetMode="External"/><Relationship Id="rId1" Type="http://schemas.openxmlformats.org/officeDocument/2006/relationships/hyperlink" Target="https://www.nrc.gov/docs/ML1310/ML13109A339.pdf" TargetMode="External"/><Relationship Id="rId6" Type="http://schemas.openxmlformats.org/officeDocument/2006/relationships/hyperlink" Target="https://www.ncjrs.gov/criminal_justice2000/vol_3/03j.pdf" TargetMode="External"/><Relationship Id="rId11" Type="http://schemas.openxmlformats.org/officeDocument/2006/relationships/hyperlink" Target="https://www.youtube.com/watch?v=t5kCqRoshwc" TargetMode="External"/><Relationship Id="rId5" Type="http://schemas.openxmlformats.org/officeDocument/2006/relationships/hyperlink" Target="https://www.researchgate.net/scientific-contributions/3538060_Paul_Slovic" TargetMode="External"/><Relationship Id="rId15" Type="http://schemas.openxmlformats.org/officeDocument/2006/relationships/hyperlink" Target="http://www.oregon.gov/gov/policy/environment/environmental_justice/Documents/2016%20Oregon%20EJTF%20Handbook%20Final.pdf" TargetMode="External"/><Relationship Id="rId10" Type="http://schemas.openxmlformats.org/officeDocument/2006/relationships/hyperlink" Target="https://www.epa.gov/ocr/title-vi-and-environmental-justice-epa" TargetMode="External"/><Relationship Id="rId4" Type="http://schemas.openxmlformats.org/officeDocument/2006/relationships/hyperlink" Target="https://www.amazon.com/Robin-Morris-Collin/e/B00QMXSMZO" TargetMode="External"/><Relationship Id="rId9" Type="http://schemas.openxmlformats.org/officeDocument/2006/relationships/hyperlink" Target="https://www.epa.gov/laws-regulations/summary-executive-order-12898-federal-actions-address-environmental-justice" TargetMode="External"/><Relationship Id="rId14" Type="http://schemas.openxmlformats.org/officeDocument/2006/relationships/hyperlink" Target="http://www.scorec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F1165-0762-4799-963F-C2F6EEA3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1649</Words>
  <Characters>9404</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Environmental Injustice, Environmental Racism, Shared Adverse Impacts.  Why Incl</vt:lpstr>
      <vt:lpstr>Public Participation in Environmental Decision Making: Current Legal Treatment (</vt:lpstr>
      <vt:lpstr>Constructing Public Participation: EJ Principles and Tools</vt:lpstr>
      <vt:lpstr>An Example:  Integrating Principles with Tools: Cleaner Air Oregon </vt:lpstr>
      <vt:lpstr>    Scoping and Capacity Building: The Problem and the Rulemaking</vt:lpstr>
      <vt:lpstr>    Identification of impacted communities and Capacity Building: Who is Missing?</vt:lpstr>
      <vt:lpstr>    Modes of Inclusion; inadequacies of notice and comment format as well as traditi</vt:lpstr>
      <vt:lpstr>    http://cleanerair.oregon.gov/regulatory-reform/   </vt:lpstr>
      <vt:lpstr>    Inclusion in Data Collection and Curation: What Counts as Knowledge and Informat</vt:lpstr>
      <vt:lpstr>    Accountability to Participants, Measurements of Success, and Interpretation of M</vt:lpstr>
    </vt:vector>
  </TitlesOfParts>
  <Company>Oregon Judicial Department</Company>
  <LinksUpToDate>false</LinksUpToDate>
  <CharactersWithSpaces>11031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Ediitor Collin</dc:creator>
  <cp:lastModifiedBy>Joel C Duran</cp:lastModifiedBy>
  <cp:revision>2</cp:revision>
  <cp:lastPrinted>2017-09-17T18:55:00Z</cp:lastPrinted>
  <dcterms:created xsi:type="dcterms:W3CDTF">2017-09-19T15:21:00Z</dcterms:created>
  <dcterms:modified xsi:type="dcterms:W3CDTF">2017-09-19T15:21:00Z</dcterms:modified>
</cp:coreProperties>
</file>